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T6 Bewertungskriterien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Vertrauen = Eignung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Kosten = Zuschlag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Bereitschaft, die Kosten zu tragen = Vertragsrisiken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Go/No-Go-Logik: Ist ein Kriterium aus Block A „nicht erfüllt“, lautet das Ergebnis No-Go. Sonst Go mit Score. Als Startwert zum Testen: Eignung 40, Gewinnchance 35, Kosten/Risiko 25 Punkte. Jedes „unklar“ in Block A kostet ein paar Punkte, schließt aber nicht aus.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Eignung („Vertrauen“) – K.o.-Kriterien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Fachliche Passung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Berufszulassung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Wirtschaftliche Leistungsfähigkeit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Referenzen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Zertifikate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Ort und Zeitraum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Eigene Ausschlüsse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Gewinnchance („Kosten“) – Score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Zuschlagskriterien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Auftragswert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Bietergemeinschaft/Nachunternehmer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Verfahrensart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Kosten und Risiken für die Firma – Risiko-Hinweis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Vertragsstrafen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Sicherheiten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Zahlung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Preisrisiko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Angebotsaufwand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