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Vantage Holdings — Knowledge Search Handbook</w:t>
      </w:r>
    </w:p>
    <w:p>
      <w:r>
        <w:t>Internal — operational reference. Distributed only to operators responsible for the knowledge-search service.</w:t>
      </w:r>
    </w:p>
    <w:p>
      <w:pPr>
        <w:pStyle w:val="Heading1"/>
      </w:pPr>
      <w:r>
        <w:t>1. Scope</w:t>
      </w:r>
    </w:p>
    <w:p>
      <w:r>
        <w:rPr>
          <w:sz w:val="22"/>
        </w:rPr>
        <w:t>This handbook documents the day-to-day operating contract for the offline knowledge-search service. It is the source of truth for what the service is allowed to do, what it must refuse, and how operators recover from common failure modes.</w:t>
      </w:r>
    </w:p>
    <w:p>
      <w:pPr>
        <w:pStyle w:val="Heading1"/>
      </w:pPr>
      <w:r>
        <w:t>2. Source-grounding requirement</w:t>
      </w:r>
    </w:p>
    <w:p>
      <w:r>
        <w:rPr>
          <w:sz w:val="22"/>
        </w:rPr>
        <w:t>Every answer the service returns must cite at least one passage from the indexed corpus. Where no passage supports a claim, the service must reply with the verbatim string "I don't have enough information in the indexed corpus to answer this." Operators monitor the rate of this refusal as the primary trust metric.</w:t>
      </w:r>
    </w:p>
    <w:p>
      <w:pPr>
        <w:pStyle w:val="Heading1"/>
      </w:pPr>
      <w:r>
        <w:t>3. Retention and deletion</w:t>
      </w:r>
    </w:p>
    <w:p>
      <w:r>
        <w:rPr>
          <w:sz w:val="22"/>
        </w:rPr>
        <w:t>Documents are retained in the index for as long as they remain on the authoritative file share. Removal from the share triggers automatic eviction on the next ingest cycle, with the corresponding chunk identifiers logged to the audit trail. For urgent removal ahead of an ingest cycle, operators use scripts/eviction.py with an explicit reason string.</w:t>
      </w:r>
    </w:p>
    <w:p>
      <w:pPr>
        <w:pStyle w:val="Heading1"/>
      </w:pPr>
      <w:r>
        <w:t>4. Audit trail</w:t>
      </w:r>
    </w:p>
    <w:p>
      <w:r>
        <w:rPr>
          <w:sz w:val="22"/>
        </w:rPr>
        <w:t>Every ingest, eviction, and incident response is logged to a structured JSONL file under $CRAG_DATA_DIR/audit/. Audit log integrity is verified by an external job that hashes each day's rotated file and checks the hash against a controlled register.</w:t>
      </w:r>
    </w:p>
    <w:p>
      <w:pPr>
        <w:pStyle w:val="Heading1"/>
      </w:pPr>
      <w:r>
        <w:t>5. Approved models</w:t>
      </w:r>
    </w:p>
    <w:p>
      <w:r>
        <w:rPr>
          <w:sz w:val="22"/>
        </w:rPr>
        <w:t>Only models listed in the approved-model register may be loaded. The current approved set is bge-small-en-v1.5 for embedding, bge-reranker-v2-m3 for reranking, and qwen2.5:7b-instruct-q4_K_M for generation. Substitutions require change-management approval and a re-run of the full evaluation gold set.</w:t>
      </w:r>
    </w:p>
    <w:p>
      <w:pPr>
        <w:pStyle w:val="Heading1"/>
      </w:pPr>
      <w:r>
        <w:t>6. Off-corpus questions</w:t>
      </w:r>
    </w:p>
    <w:p>
      <w:r>
        <w:rPr>
          <w:sz w:val="22"/>
        </w:rPr>
        <w:t>Where a user asks a question the corpus cannot answer, the service replies with the refusal string described in section 2. Operators must not configure the service to answer from the model's parametric knowledge under any circumstance.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