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567"/>
        <w:gridCol w:w="850"/>
        <w:gridCol w:w="592"/>
        <w:gridCol w:w="186"/>
        <w:gridCol w:w="72"/>
        <w:gridCol w:w="142"/>
        <w:gridCol w:w="192"/>
        <w:gridCol w:w="592"/>
        <w:gridCol w:w="634"/>
        <w:gridCol w:w="142"/>
        <w:gridCol w:w="111"/>
        <w:gridCol w:w="30"/>
        <w:gridCol w:w="800"/>
        <w:gridCol w:w="476"/>
        <w:gridCol w:w="3827"/>
        <w:gridCol w:w="567"/>
      </w:tblGrid>
      <w:tr>
        <w:trPr>
          <w:trHeight w:hRule="exact" w:val="277.83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МИНИСТЕРСТВО НАУКИ И ВЫСШЕГО ОБРАЗОВАНИЯ РОССИЙСКОЙ ФЕДЕРАЦИИ</w:t>
            </w:r>
          </w:p>
        </w:tc>
      </w:tr>
      <w:tr>
        <w:trPr>
          <w:trHeight w:hRule="exact" w:val="138.91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250.235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"РЯЗАНСКИЙ ГОСУДАРСТВЕННЫЙ РАДИОТЕХНИЧЕСКИЙ УНИВЕРСИТЕТ ИМЕНИ В.Ф. УТКИНА"</w:t>
            </w:r>
          </w:p>
        </w:tc>
      </w:tr>
      <w:tr>
        <w:trPr>
          <w:trHeight w:hRule="exact" w:val="1250.23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СОГЛАСОВАНО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Зав. выпускающей кафедры</w:t>
            </w:r>
          </w:p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Проректор по УР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А.В. Корячко</w:t>
            </w:r>
          </w:p>
        </w:tc>
        <w:tc>
          <w:tcPr>
            <w:tcW w:w="568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3558.75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40"/>
                <w:szCs w:val="40"/>
              </w:rPr>
              <w:t> Современные технологии программирования</w:t>
            </w:r>
          </w:p>
        </w:tc>
      </w:tr>
      <w:tr>
        <w:trPr>
          <w:trHeight w:hRule="exact" w:val="416.7451"/>
        </w:trPr>
        <w:tc>
          <w:tcPr>
            <w:tcW w:w="10221" w:type="dxa"/>
            <w:gridSpan w:val="1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#000000"/>
                <w:sz w:val="36"/>
                <w:szCs w:val="36"/>
              </w:rPr>
              <w:t> рабочая программа дисциплины (модуля)</w:t>
            </w:r>
          </w:p>
        </w:tc>
      </w:tr>
      <w:tr>
        <w:trPr>
          <w:trHeight w:hRule="exact" w:val="1666.98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210.8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Закреплена за кафедрой</w:t>
            </w:r>
          </w:p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0"/>
                <w:szCs w:val="20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Учебный план</w:t>
            </w:r>
          </w:p>
        </w:tc>
        <w:tc>
          <w:tcPr>
            <w:tcW w:w="7386" w:type="dxa"/>
            <w:gridSpan w:val="10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02.03.01_22_00.plx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176.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7386" w:type="dxa"/>
            <w:gridSpan w:val="10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Квалификация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Форма обучения</w:t>
            </w:r>
          </w:p>
        </w:tc>
        <w:tc>
          <w:tcPr>
            <w:tcW w:w="7386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очная</w:t>
            </w:r>
          </w:p>
        </w:tc>
      </w:tr>
      <w:tr>
        <w:trPr>
          <w:trHeight w:hRule="exact" w:val="315.31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1574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 ЗЕТ</w:t>
            </w:r>
          </w:p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101.4295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4520.55" w:type="dxa"/>
            <w:gridSpan w:val="1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Распределение часов дисциплины по семестрам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727.2086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(&lt;Курс&gt;.&lt;Семестр на курсе&gt;)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 (2.1)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Недель</w:t>
            </w:r>
          </w:p>
        </w:tc>
        <w:tc>
          <w:tcPr>
            <w:tcW w:w="1199.1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1493.7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Вид занятий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УП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#000000"/>
                <w:sz w:val="13"/>
                <w:szCs w:val="13"/>
              </w:rPr>
              <w:t> РП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507.44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Иная контактная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 ауд.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34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Кoнтактная рабoта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32,25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Сам. работа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31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9.5943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Часы на контроль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5"/>
        </w:trPr>
        <w:tc>
          <w:tcPr>
            <w:tcW w:w="1857.7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Итого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607.0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901.6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72</w:t>
            </w:r>
          </w:p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8.5652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43" w:type="dxa"/>
          </w:tcPr>
          <w:p/>
        </w:tc>
        <w:tc>
          <w:tcPr>
            <w:tcW w:w="112" w:type="dxa"/>
          </w:tcPr>
          <w:p/>
        </w:tc>
        <w:tc>
          <w:tcPr>
            <w:tcW w:w="31" w:type="dxa"/>
          </w:tcPr>
          <w:p/>
        </w:tc>
        <w:tc>
          <w:tcPr>
            <w:tcW w:w="801" w:type="dxa"/>
          </w:tcPr>
          <w:p/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568" w:type="dxa"/>
          </w:tcPr>
          <w:p/>
        </w:tc>
        <w:tc>
          <w:tcPr>
            <w:tcW w:w="851" w:type="dxa"/>
          </w:tcPr>
          <w:p/>
        </w:tc>
        <w:tc>
          <w:tcPr>
            <w:tcW w:w="593" w:type="dxa"/>
          </w:tcPr>
          <w:p/>
        </w:tc>
        <w:tc>
          <w:tcPr>
            <w:tcW w:w="187" w:type="dxa"/>
          </w:tcPr>
          <w:p/>
        </w:tc>
        <w:tc>
          <w:tcPr>
            <w:tcW w:w="73" w:type="dxa"/>
          </w:tcPr>
          <w:p/>
        </w:tc>
        <w:tc>
          <w:tcPr>
            <w:tcW w:w="143" w:type="dxa"/>
          </w:tcPr>
          <w:p/>
        </w:tc>
        <w:tc>
          <w:tcPr>
            <w:tcW w:w="193" w:type="dxa"/>
          </w:tcPr>
          <w:p/>
        </w:tc>
        <w:tc>
          <w:tcPr>
            <w:tcW w:w="593" w:type="dxa"/>
          </w:tcPr>
          <w:p/>
        </w:tc>
        <w:tc>
          <w:tcPr>
            <w:tcW w:w="635" w:type="dxa"/>
          </w:tcPr>
          <w:p/>
        </w:tc>
        <w:tc>
          <w:tcPr>
            <w:tcW w:w="1098.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г. Рязань</w:t>
            </w:r>
          </w:p>
        </w:tc>
        <w:tc>
          <w:tcPr>
            <w:tcW w:w="477" w:type="dxa"/>
          </w:tcPr>
          <w:p/>
        </w:tc>
        <w:tc>
          <w:tcPr>
            <w:tcW w:w="3828" w:type="dxa"/>
          </w:tcPr>
          <w:p/>
        </w:tc>
        <w:tc>
          <w:tcPr>
            <w:tcW w:w="568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84"/>
        <w:gridCol w:w="3544"/>
        <w:gridCol w:w="283"/>
        <w:gridCol w:w="567"/>
        <w:gridCol w:w="1134"/>
        <w:gridCol w:w="425"/>
        <w:gridCol w:w="3544"/>
        <w:gridCol w:w="425"/>
        <w:gridCol w:w="567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1007.2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Программу составил(и):</w:t>
            </w:r>
          </w:p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19"/>
                <w:szCs w:val="19"/>
              </w:rPr>
              <w:t> к.т.н., доц., Д.А. Наумов;к.т.н., доц., Д.А. Наумов</w:t>
            </w:r>
          </w:p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3"/>
        </w:trPr>
        <w:tc>
          <w:tcPr>
            <w:tcW w:w="285" w:type="dxa"/>
          </w:tcPr>
          <w:p/>
        </w:tc>
        <w:tc>
          <w:tcPr>
            <w:tcW w:w="3842.2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9.15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дисциплины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Современные технологии программирования</w:t>
            </w:r>
          </w:p>
        </w:tc>
      </w:tr>
      <w:tr>
        <w:trPr>
          <w:trHeight w:hRule="exact" w:val="277.8299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разработана в соответствии с ФГОС ВО: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478.0438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ФГОС ВО - бакалавриат по направлению подготовки 02.03.01 Математика и компьютерные науки (приказ Минобрнауки России от 23.08.2017 г. № 807)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составлена на основании учебного плана:</w:t>
            </w:r>
          </w:p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02.03.01 Математика и компьютерные науки</w:t>
            </w:r>
          </w:p>
        </w:tc>
      </w:tr>
      <w:tr>
        <w:trPr>
          <w:trHeight w:hRule="exact" w:val="416.7455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утвержденного учёным советом вуза от 28.01.2022 протокол № 6.</w:t>
            </w:r>
          </w:p>
        </w:tc>
      </w:tr>
      <w:tr>
        <w:trPr>
          <w:trHeight w:hRule="exact" w:val="555.6598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277.8304"/>
        </w:trPr>
        <w:tc>
          <w:tcPr>
            <w:tcW w:w="285" w:type="dxa"/>
          </w:tcPr>
          <w:p/>
        </w:tc>
        <w:tc>
          <w:tcPr>
            <w:tcW w:w="3545" w:type="dxa"/>
          </w:tcPr>
          <w:p/>
        </w:tc>
        <w:tc>
          <w:tcPr>
            <w:tcW w:w="284" w:type="dxa"/>
          </w:tcPr>
          <w:p/>
        </w:tc>
        <w:tc>
          <w:tcPr>
            <w:tcW w:w="568" w:type="dxa"/>
          </w:tcPr>
          <w:p/>
        </w:tc>
        <w:tc>
          <w:tcPr>
            <w:tcW w:w="1135" w:type="dxa"/>
          </w:tcPr>
          <w:p/>
        </w:tc>
        <w:tc>
          <w:tcPr>
            <w:tcW w:w="426" w:type="dxa"/>
          </w:tcPr>
          <w:p/>
        </w:tc>
        <w:tc>
          <w:tcPr>
            <w:tcW w:w="3545" w:type="dxa"/>
          </w:tcPr>
          <w:p/>
        </w:tc>
        <w:tc>
          <w:tcPr>
            <w:tcW w:w="426" w:type="dxa"/>
          </w:tcPr>
          <w:p/>
        </w:tc>
        <w:tc>
          <w:tcPr>
            <w:tcW w:w="568" w:type="dxa"/>
          </w:tcPr>
          <w:p/>
        </w:tc>
      </w:tr>
      <w:tr>
        <w:trPr>
          <w:trHeight w:hRule="exact" w:val="833.4893"/>
        </w:trPr>
        <w:tc>
          <w:tcPr>
            <w:tcW w:w="10788" w:type="dxa"/>
            <w:gridSpan w:val="9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28.05.2021 г.  №  7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Срок действия программы: 2021-2025 уч.г.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Гусев Сергей Игоревич</w:t>
            </w:r>
          </w:p>
        </w:tc>
      </w:tr>
      <w:tr>
        <w:trPr>
          <w:trHeight w:hRule="exact" w:val="277.8304"/>
        </w:trPr>
        <w:tc>
          <w:tcPr>
            <w:tcW w:w="6252" w:type="dxa"/>
            <w:gridSpan w:val="6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6252" w:type="dxa"/>
            <w:gridSpan w:val="6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3984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81.9998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4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2023-2024 учебном году на заседании кафедры</w:t>
            </w:r>
          </w:p>
        </w:tc>
      </w:tr>
      <w:tr>
        <w:trPr>
          <w:trHeight w:hRule="exact" w:val="277.83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49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694.57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0022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51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2024-2025 учебном году на заседании кафедры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11.32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555.6598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2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2025-2026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</w:t>
            </w:r>
          </w:p>
        </w:tc>
      </w:tr>
      <w:tr>
        <w:trPr>
          <w:trHeight w:hRule="exact" w:val="833.489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4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Рабочая программа пересмотрена, обсуждена и одобрена для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исполнения в 2026-2027 учебном году на заседании кафедры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Космические технологии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5" w:type="dxa"/>
          </w:tcPr>
          <w:p/>
        </w:tc>
        <w:tc>
          <w:tcPr>
            <w:tcW w:w="510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72.4053"/>
        </w:trPr>
        <w:tc>
          <w:tcPr>
            <w:tcW w:w="2694" w:type="dxa"/>
          </w:tcPr>
          <w:p/>
        </w:tc>
        <w:tc>
          <w:tcPr>
            <w:tcW w:w="8094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Протокол от  __ __________ 2026 г.  №  __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Зав. кафедрой __________________________________________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65"/>
        <w:gridCol w:w="227"/>
        <w:gridCol w:w="1843"/>
        <w:gridCol w:w="1843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6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1. ЦЕЛИ ОСВОЕНИЯ ДИСЦИПЛИНЫ (МОДУЛЯ)</w:t>
            </w:r>
          </w:p>
        </w:tc>
      </w:tr>
      <w:tr>
        <w:trPr>
          <w:trHeight w:hRule="exact" w:val="507.4439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получить знания, умения и навык использования современных инструментальных средств разработки программного обеспечения</w:t>
            </w:r>
          </w:p>
        </w:tc>
      </w:tr>
      <w:tr>
        <w:trPr>
          <w:trHeight w:hRule="exact" w:val="277.8301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8"/>
        </w:trPr>
        <w:tc>
          <w:tcPr>
            <w:tcW w:w="2850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Цикл (раздел) ОП:</w:t>
            </w:r>
          </w:p>
        </w:tc>
        <w:tc>
          <w:tcPr>
            <w:tcW w:w="7953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ФТД.В</w:t>
            </w:r>
          </w:p>
        </w:tc>
      </w:tr>
      <w:tr>
        <w:trPr>
          <w:trHeight w:hRule="exact" w:val="277.830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Требования к предварительной подготовке обучающегося:</w:t>
            </w:r>
          </w:p>
        </w:tc>
      </w:tr>
      <w:tr>
        <w:trPr>
          <w:trHeight w:hRule="exact" w:val="507.444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Дисциплины (модули) и практики, для которых освоение данной дисциплины (модуля) необходимо как предшествующее: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Электроника, микроэлектроника и наноэлектроника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теории решения изобретательских задач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Анализ и визуализация данных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Научно-исследовательская работа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конструирования электронных средств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Презентационная графика в научных исследованиях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2.2.7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2.2.8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Математические методы в космических технологиях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2.2.9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Машинное обучение и искусственный интеллект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2.2.10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научных исследований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Прикладная механика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Космические системы и технологии</w:t>
            </w:r>
          </w:p>
        </w:tc>
      </w:tr>
      <w:tr>
        <w:trPr>
          <w:trHeight w:hRule="exact" w:val="287.6786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процедуре защиты и защита выпускной квалификационной работы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2.2.14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Преддипломная практика</w:t>
            </w:r>
          </w:p>
        </w:tc>
      </w:tr>
      <w:tr>
        <w:trPr>
          <w:trHeight w:hRule="exact" w:val="287.6791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2.2.15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Производственная практика</w:t>
            </w:r>
          </w:p>
        </w:tc>
      </w:tr>
      <w:tr>
        <w:trPr>
          <w:trHeight w:hRule="exact" w:val="279.5943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2.2.16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Цифровая обработка сигналов</w:t>
            </w:r>
          </w:p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308.99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ПК-6: Способен проводить научные исследования по отдельным разделам исследуемой тематики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ПК-6.1. Проводит работы по обработке и анализу научно-технической документации и результатов исследования</w:t>
            </w:r>
          </w:p>
        </w:tc>
      </w:tr>
      <w:tr>
        <w:trPr>
          <w:trHeight w:hRule="exact" w:val="1142.778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научно-исследовательских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ПК-6.2. Выполняет эксперименты и оформляет результаты исследований и разработок</w:t>
            </w:r>
          </w:p>
        </w:tc>
      </w:tr>
      <w:tr>
        <w:trPr>
          <w:trHeight w:hRule="exact" w:val="1362.543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технологий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экспериментов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оформления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научно-исследовательских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ПК-6.3. Выполняет элементы документации, планов и программ проведения отдельных этапов работ</w:t>
            </w:r>
          </w:p>
        </w:tc>
      </w:tr>
      <w:tr>
        <w:trPr>
          <w:trHeight w:hRule="exact" w:val="1142.777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Знать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технологии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выполнения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отдельных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этапов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работ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Уметь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Владеть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</w:t>
            </w:r>
            <w:r>
              <w:rPr/>
              <w:t xml:space="preserve"> </w:t>
            </w:r>
          </w:p>
        </w:tc>
      </w:tr>
      <w:tr>
        <w:trPr>
          <w:trHeight w:hRule="exact" w:val="14.7"/>
        </w:trPr>
        <w:tc>
          <w:tcPr>
            <w:tcW w:w="10788" w:type="dxa"/>
            <w:gridSpan w:val="11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38.9152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3.1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Знать:</w:t>
            </w:r>
          </w:p>
        </w:tc>
      </w:tr>
      <w:tr>
        <w:trPr>
          <w:trHeight w:hRule="exact" w:val="277.8304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3.2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Уметь:</w:t>
            </w:r>
          </w:p>
        </w:tc>
      </w:tr>
      <w:tr>
        <w:trPr>
          <w:trHeight w:hRule="exact" w:val="277.8295"/>
        </w:trPr>
        <w:tc>
          <w:tcPr>
            <w:tcW w:w="780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3.3</w:t>
            </w:r>
          </w:p>
        </w:tc>
        <w:tc>
          <w:tcPr>
            <w:tcW w:w="10022.5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Владеть:</w:t>
            </w:r>
          </w:p>
        </w:tc>
      </w:tr>
      <w:tr>
        <w:trPr>
          <w:trHeight w:hRule="exact" w:val="277.8295"/>
        </w:trPr>
        <w:tc>
          <w:tcPr>
            <w:tcW w:w="766" w:type="dxa"/>
          </w:tcPr>
          <w:p/>
        </w:tc>
        <w:tc>
          <w:tcPr>
            <w:tcW w:w="228" w:type="dxa"/>
          </w:tcPr>
          <w:p/>
        </w:tc>
        <w:tc>
          <w:tcPr>
            <w:tcW w:w="1844" w:type="dxa"/>
          </w:tcPr>
          <w:p/>
        </w:tc>
        <w:tc>
          <w:tcPr>
            <w:tcW w:w="1844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1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4. СТРУКТУРА И СОДЕРЖАНИЕ ДИСЦИПЛИНЫ (МОДУЛЯ)</w:t>
            </w:r>
          </w:p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Код занятия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 разделов и тем /вид занятия/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Семестр / Курс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Часов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Компетен-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ции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Литература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Форма контроля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478.04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1. Основы программирования на Python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работы с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Python. Установка Python, Anaconda, PyCharm. Интерактивный режим работы. Пакетный режим работы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IPython и Jupyter Notebook. Виртуальные окружения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Типы и модель данных в Python. Арифметические операции. Операции с целыми и вещественными числами. Работа с ком- плексными числами. Битовые операции. Модуль math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Операторы управления. Условный оператор. Оператор цикла while. Оператор цикла for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1.7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со списками. Кортежи. Словари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1.8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Функции в Python. Lambda-функции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567"/>
        <w:gridCol w:w="992"/>
        <w:gridCol w:w="709"/>
        <w:gridCol w:w="1134"/>
        <w:gridCol w:w="1276"/>
        <w:gridCol w:w="425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426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1.9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Работа с исключениями. Иерархия исключений. Обработка исключений. Генерация исключений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1.10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Ввод-вывод данных. Работа с файлами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1.11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Модули и пакеты. Установка пакетов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1.12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1.13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объектно-ориентированного программирования на языке Python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1.14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Классы и объекты. Основные понятия объектно- ориентированного программирования.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1.15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Классы в Python. Наследование. Полиморфизм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1.16</w:t>
            </w:r>
          </w:p>
        </w:tc>
        <w:tc>
          <w:tcPr>
            <w:tcW w:w="4267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Итераторы и генераторы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284"/>
        <w:gridCol w:w="1701"/>
        <w:gridCol w:w="1984"/>
        <w:gridCol w:w="567"/>
        <w:gridCol w:w="992"/>
        <w:gridCol w:w="709"/>
        <w:gridCol w:w="1134"/>
        <w:gridCol w:w="1276"/>
        <w:gridCol w:w="142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1.17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Декораторы функций и классов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1.18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Объектная модель в Python /Лек/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1.19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Изучение основной и дополнительной литературы. Изучение методов, алгоритмов и программных средств /Ср/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34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Раздел 2. Подготовка и прохождение промежуточной аттестации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16.7455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2.1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и сдача зачета /Тема/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2.2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к зачету /Зачёт/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8,75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016.252"/>
        </w:trPr>
        <w:tc>
          <w:tcPr>
            <w:tcW w:w="1007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2.3</w:t>
            </w:r>
          </w:p>
        </w:tc>
        <w:tc>
          <w:tcPr>
            <w:tcW w:w="4267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Сдача зачета /ИКР/</w:t>
            </w:r>
          </w:p>
        </w:tc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114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ПК-6.1-З ПК-6.1-У ПК-6.1-В ПК-6.2-З ПК-6.2-У ПК-6.2-В ПК-6.3-З ПК-6.3-У ПК-6.3-В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 Л1.2 Л1.3</w:t>
            </w:r>
          </w:p>
        </w:tc>
        <w:tc>
          <w:tcPr>
            <w:tcW w:w="1432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416.7446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5. ОЦЕНОЧНЫЕ МАТЕРИАЛЫ ПО ДИСЦИПЛИНЕ (МОДУЛЮ)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478.0443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Фонд оценочных средств для проведения промежуточной аттестации обучающихся по дисциплине представлен в виде оценочных материалов и приведен в Приложении "Оценочные материалы по дисциплине".</w:t>
            </w:r>
          </w:p>
        </w:tc>
      </w:tr>
      <w:tr>
        <w:trPr>
          <w:trHeight w:hRule="exact" w:val="277.8295"/>
        </w:trPr>
        <w:tc>
          <w:tcPr>
            <w:tcW w:w="710" w:type="dxa"/>
          </w:tcPr>
          <w:p/>
        </w:tc>
        <w:tc>
          <w:tcPr>
            <w:tcW w:w="285" w:type="dxa"/>
          </w:tcPr>
          <w:p/>
        </w:tc>
        <w:tc>
          <w:tcPr>
            <w:tcW w:w="1702" w:type="dxa"/>
          </w:tcPr>
          <w:p/>
        </w:tc>
        <w:tc>
          <w:tcPr>
            <w:tcW w:w="1985" w:type="dxa"/>
          </w:tcPr>
          <w:p/>
        </w:tc>
        <w:tc>
          <w:tcPr>
            <w:tcW w:w="568" w:type="dxa"/>
          </w:tcPr>
          <w:p/>
        </w:tc>
        <w:tc>
          <w:tcPr>
            <w:tcW w:w="993" w:type="dxa"/>
          </w:tcPr>
          <w:p/>
        </w:tc>
        <w:tc>
          <w:tcPr>
            <w:tcW w:w="710" w:type="dxa"/>
          </w:tcPr>
          <w:p/>
        </w:tc>
        <w:tc>
          <w:tcPr>
            <w:tcW w:w="1135" w:type="dxa"/>
          </w:tcPr>
          <w:p/>
        </w:tc>
        <w:tc>
          <w:tcPr>
            <w:tcW w:w="1277" w:type="dxa"/>
          </w:tcPr>
          <w:p/>
        </w:tc>
        <w:tc>
          <w:tcPr>
            <w:tcW w:w="143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 УЧЕБНО-МЕТОДИЧЕСКОЕ И ИНФОРМАЦИОННОЕ ОБЕСПЕЧЕНИЕ ДИСЦИПЛИНЫ (МОДУЛЯ)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 Рекомендуемая литература</w:t>
            </w:r>
          </w:p>
        </w:tc>
      </w:tr>
      <w:tr>
        <w:trPr>
          <w:trHeight w:hRule="exact" w:val="277.8304"/>
        </w:trPr>
        <w:tc>
          <w:tcPr>
            <w:tcW w:w="10788" w:type="dxa"/>
            <w:gridSpan w:val="1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6.1.1. Основная литература</w:t>
            </w:r>
          </w:p>
        </w:tc>
      </w:tr>
      <w:tr>
        <w:trPr>
          <w:trHeight w:hRule="exact" w:val="694.5741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709"/>
        <w:gridCol w:w="142"/>
        <w:gridCol w:w="1843"/>
        <w:gridCol w:w="1276"/>
        <w:gridCol w:w="709"/>
        <w:gridCol w:w="3402"/>
        <w:gridCol w:w="1418"/>
        <w:gridCol w:w="283"/>
        <w:gridCol w:w="992"/>
      </w:tblGrid>
      <w:tr>
        <w:trPr>
          <w:trHeight w:hRule="exact" w:val="416.745"/>
        </w:trPr>
        <w:tc>
          <w:tcPr>
            <w:tcW w:w="4692.75" w:type="dxa"/>
            <w:gridSpan w:val="5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694.575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№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Авторы, составители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Заглавие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Издательство, год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Количество/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название ЭБС</w:t>
            </w:r>
          </w:p>
        </w:tc>
      </w:tr>
      <w:tr>
        <w:trPr>
          <w:trHeight w:hRule="exact" w:val="1796.487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Л1.1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Шелудько В. М.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Язык программирования высокого уровня Python. Функции, структуры данных, дополнительные модули : учебное пособие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Ростов-на- Дону, Таганрог: Издательство Южного федерального университета, 2017, 107 с.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978-5-9275- 2648-2, http://www.ipr bookshop.ru/8 7530.html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Л1.2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Стротов В.В., Корепанов С.Е.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3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2019,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oad/2309</w:t>
            </w:r>
          </w:p>
        </w:tc>
      </w:tr>
      <w:tr>
        <w:trPr>
          <w:trHeight w:hRule="exact" w:val="1111.32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Л1.3</w:t>
            </w:r>
          </w:p>
        </w:tc>
        <w:tc>
          <w:tcPr>
            <w:tcW w:w="1999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Стротов В.В., Корепанов С.Е.</w:t>
            </w:r>
          </w:p>
        </w:tc>
        <w:tc>
          <w:tcPr>
            <w:tcW w:w="5401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Основы программирования на языке Python 3: метод. указ. к лаб. работам : Методические указания</w:t>
            </w:r>
          </w:p>
        </w:tc>
        <w:tc>
          <w:tcPr>
            <w:tcW w:w="1432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Рязань: РИЦ РГРТУ, 2020,</w:t>
            </w:r>
          </w:p>
        </w:tc>
        <w:tc>
          <w:tcPr>
            <w:tcW w:w="1290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, https://elib.rsre u.ru/ebs/downl oad/2580</w:t>
            </w:r>
          </w:p>
        </w:tc>
      </w:tr>
      <w:tr>
        <w:trPr>
          <w:trHeight w:hRule="exact" w:val="277.8299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6.2. Перечень ресурсов информационно-телекоммуникационной сети "Интернет"</w:t>
            </w:r>
          </w:p>
        </w:tc>
      </w:tr>
      <w:tr>
        <w:trPr>
          <w:trHeight w:hRule="exact" w:val="478.0438"/>
        </w:trPr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Э1</w:t>
            </w:r>
          </w:p>
        </w:tc>
        <w:tc>
          <w:tcPr>
            <w:tcW w:w="10079.25" w:type="dxa"/>
            <w:gridSpan w:val="8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Python.org : [сайт]. – Python Software Foundation, US, 1995 – . – URL: https://python.org (дата обращения: 01.01.2020). – Режим доступа: без регистрации. – Текст: электронный.</w:t>
            </w:r>
          </w:p>
        </w:tc>
      </w:tr>
      <w:tr>
        <w:trPr>
          <w:trHeight w:hRule="exact" w:val="972.4049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 Перечень программного обеспечения и информационных справочных систем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</w:t>
            </w:r>
          </w:p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6.3.1 Перечень лицензионного и свободно распространяемого программного обеспечения, в том числе отечественного производства</w:t>
            </w:r>
          </w:p>
        </w:tc>
      </w:tr>
      <w:tr>
        <w:trPr>
          <w:trHeight w:hRule="exact" w:val="416.7451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Наименование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Описание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Операционная система Windows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Kaspersky Endpoint Security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Коммерческая лицензия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Adobe Acrobat Reader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LibreOffice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SumatraPDF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Pyton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304"/>
        </w:trPr>
        <w:tc>
          <w:tcPr>
            <w:tcW w:w="3984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PyCharm Community</w:t>
            </w:r>
          </w:p>
        </w:tc>
        <w:tc>
          <w:tcPr>
            <w:tcW w:w="681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Свободное ПО</w:t>
            </w:r>
          </w:p>
        </w:tc>
      </w:tr>
      <w:tr>
        <w:trPr>
          <w:trHeight w:hRule="exact" w:val="277.8295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6.3.2 Перечень информационных справочных систем</w:t>
            </w:r>
          </w:p>
        </w:tc>
      </w:tr>
      <w:tr>
        <w:trPr>
          <w:trHeight w:hRule="exact" w:val="454.230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Справочная правовая система «КонсультантПлюс» (договор об информационной поддержке №1342/455-100 от 28.10.2011 г.)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Система КонсультантПлюс http://www.consultant.ru</w:t>
            </w:r>
          </w:p>
        </w:tc>
      </w:tr>
      <w:tr>
        <w:trPr>
          <w:trHeight w:hRule="exact" w:val="277.8295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6.3.2.3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Информационно-правовой портал ГАРАНТ.РУ http://www.garant.ru</w:t>
            </w:r>
          </w:p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844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7. МАТЕРИАЛЬНО-ТЕХНИЧЕСКОЕ ОБЕСПЕЧЕНИЕ ДИСЦИПЛИНЫ (МОДУЛЯ)</w:t>
            </w:r>
          </w:p>
        </w:tc>
      </w:tr>
      <w:tr>
        <w:trPr>
          <w:trHeight w:hRule="exact" w:val="1333.14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203 учебно-административный корпус. Учебная аудитория для проведения занятий лекционного типа, занятий семинарского типа, практических занятий, в том числе выполнения учебных, курсовых и дипломных работ, групповых и индивидуальных консультаций, текущего контроля и промежуточной аттестации, для самостоятельной работы  Специальная мебель (30 посадочных места), компьютер с возможностью подключения к сети «Интернет» и обеспечением доступа в электронную информационно-образовательную среду РГРТУ, мультимедиа проектор, экран, доска</w:t>
            </w:r>
          </w:p>
        </w:tc>
      </w:tr>
      <w:tr>
        <w:trPr>
          <w:trHeight w:hRule="exact" w:val="1113.378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260 учебно-административный корпус. Учебная аудитория для проведения учебных Специализированная мебель (15 посадочных мест), аудиторная доска, экран, проектор,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ПК: 10 шт.</w:t>
            </w:r>
          </w:p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Возможность подключения к сети «Интернет» и обеспечение доступа в электронную информационно- образовательную среду РГРТУ.</w:t>
            </w:r>
          </w:p>
        </w:tc>
      </w:tr>
      <w:tr>
        <w:trPr>
          <w:trHeight w:hRule="exact" w:val="893.6127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9937.5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21 бизнес-инкубатор.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аттестации, самостоятельной работы 12 мест, 2 экрана, доска, 12 компьютеров (компьютерный класс) с возможностью подключения к сети «Интернет» и обеспечением доступа в электронную информационно-образовательную среду РГРТУ</w:t>
            </w:r>
          </w:p>
        </w:tc>
      </w:tr>
      <w:tr>
        <w:trPr>
          <w:trHeight w:hRule="exact" w:val="277.8304"/>
        </w:trPr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1844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3403" w:type="dxa"/>
          </w:tcPr>
          <w:p/>
        </w:tc>
        <w:tc>
          <w:tcPr>
            <w:tcW w:w="1419" w:type="dxa"/>
          </w:tcPr>
          <w:p/>
        </w:tc>
        <w:tc>
          <w:tcPr>
            <w:tcW w:w="284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D3D3D3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9"/>
                <w:szCs w:val="19"/>
              </w:rPr>
              <w:t> 8. МЕТОДИЧЕСКИЕ МАТЕРИАЛЫ ПО ДИСЦИПЛИНЕ (МОДУЛЮ)</w:t>
            </w:r>
          </w:p>
        </w:tc>
      </w:tr>
      <w:tr>
        <w:trPr>
          <w:trHeight w:hRule="exact" w:val="432.3257"/>
        </w:trPr>
        <w:tc>
          <w:tcPr>
            <w:tcW w:w="10788" w:type="dxa"/>
            <w:gridSpan w:val="9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Успешное усвоение курса предполагает активное, творческое участие студента на всех этапах ее освоения путем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5103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02.03.01_22_00.plx</w:t>
            </w:r>
          </w:p>
        </w:tc>
        <w:tc>
          <w:tcPr>
            <w:tcW w:w="5104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169.23"/>
        </w:trPr>
        <w:tc>
          <w:tcPr>
            <w:tcW w:w="10788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планомерной, повседневной работы. Студентам необходимо ознакомиться: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содержанием рабочей программы дисциплины;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целями и задачами дисциплины, ее связями с другими дисциплинами образовательной программы;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методическими разработками по данной дисциплине, имеющимися на сайтах библиотеки РГРТУ;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 графиком консультаций преподавателей кафедры.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изучению дисциплины предъявляются следующие организационные требования: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обязательное посещение студентом всех видов контактных занятий;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качественная самостоятельная подготовка к практическим занятиям, активная работа на них;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активная, ритмичная самостоятельная аудиторная и внеаудиторная работа студента в соответствии с планом-графиком;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своевременная сдача преподавателю отчетных документов по контактным видам ра-бот;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в случае наличия пропущенных студентом занятиям, необходимо получить консуль-тацию по подготовке и оформлению отдельных видов заданий.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При подготовке к практическим занятиям студентам следует: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приносить с собой рекомендованную преподавателем материалы к конкретному за-нятию;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до очередного практического занятия по рекомендованным литературным источни-кам проработать теоретический материал, соответствующей темы занятия;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задать преподавателю вопросы по материалу, вызвавшему затруднения в его пони-мании и освоении при решении задач, заданных для самостоятельного решения;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–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Студентам, пропустившим занятия (независимо от причин), рекомендуется обратиться к преподавателю в день консультаций и получить индивидуальное задание.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 выполнению заданий для самостоятельной работы предъявляются следующие требования: задания должны исполняться самостоятельно и представляться в установленный срок, а также соответствовать установленным требованиям по оформлению. Любая форма самостоятельной работы студента (подготовка к семинарскому занятию, написание эссе, курсовой работы, доклада и т.п.) начинается с изучения соответствующей литературы как в библиотеке, так и дома.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 завершению изучения дисциплины сдается зачет. При подготовке к зачету необходимо ориентироваться на рабочую программу дисциплины, учебную и рекомендуемую литературу. Основное в подготовке к сдаче зачета – это проработка контрольных вопросов и систематизация теоретических знаний, подтверждение практическими примерами.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Подготовка студента к промежуточной аттестации по дисциплине включает в себя следующие этапы: систематическая работа в течение семестра; непосредственная подготовка в дни, предшествующие зачету по темам курса.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Во время испытаний промежуточной аттестации студенты могут пользоваться рабочими программами учебных дисциплин, а также справочниками и прочими источниками информации, разрешенными преподавателем.</w:t>
            </w:r>
          </w:p>
          <w:p>
            <w:pPr>
              <w:jc w:val="left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На промежуточной аттестации нельзя пользоваться электронными средствами связи и материалами, неразрешенными преподавателем. Также не разрешается общение с другими студентами и несанкционированные перемещения по аудитории. Указанные нарушения являются основанием для удаления студента из аудитории с последующим проставлением в ведомости оценки «не удовлетворительно».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2022-2023_02_03_01_22_00_plx_Современные технологии программирования</dc:title>
  <dc:creator>FastReport.NET</dc:creator>
</cp:coreProperties>
</file>