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18227C"/>
          <w:sz w:val="44"/>
        </w:rPr>
        <w:t>ALEXANDER MORGAN</w:t>
      </w:r>
    </w:p>
    <w:p>
      <w:pPr>
        <w:spacing w:before="0" w:after="80"/>
      </w:pPr>
      <w:r>
        <w:rPr>
          <w:rFonts w:ascii="Calibri" w:hAnsi="Calibri"/>
          <w:b/>
          <w:color w:val="00B5B8"/>
          <w:sz w:val="26"/>
        </w:rPr>
        <w:t>Senior Solutions Architect &amp; Operations Director</w:t>
      </w:r>
    </w:p>
    <w:p>
      <w:pPr>
        <w:spacing w:before="0" w:after="200"/>
      </w:pPr>
      <w:r>
        <w:rPr>
          <w:rFonts w:ascii="Calibri" w:hAnsi="Calibri"/>
          <w:color w:val="475569"/>
          <w:sz w:val="19"/>
        </w:rPr>
        <w:t>alex.morgan@email.com   |   +1 (555) 382-9910   |   Dallas, TX   |   linkedin.com/in/alexandermorgan</w:t>
      </w:r>
    </w:p>
    <w:p>
      <w:pPr>
        <w:keepNext/>
        <w:spacing w:before="280" w:after="120"/>
        <w:pBdr>
          <w:bottom w:val="single" w:sz="12" w:space="4" w:color="18227C"/>
        </w:pBdr>
      </w:pPr>
      <w:r>
        <w:rPr>
          <w:rFonts w:ascii="Calibri" w:hAnsi="Calibri"/>
          <w:b/>
          <w:color w:val="18227C"/>
          <w:sz w:val="24"/>
        </w:rPr>
        <w:t>PROFESSIONAL SUMMARY</w:t>
      </w:r>
    </w:p>
    <w:p>
      <w:pPr>
        <w:spacing w:before="80" w:after="160" w:line="276" w:lineRule="auto"/>
      </w:pPr>
      <w:r>
        <w:rPr>
          <w:rFonts w:ascii="Calibri" w:hAnsi="Calibri"/>
          <w:color w:val="1E293B"/>
          <w:sz w:val="21"/>
        </w:rPr>
        <w:t>Accomplished Solutions Architect and Business Operations Leader with 12+ years of experience spearheading digital transformations, enterprise cloud migrations, and workflow automation. Expert at aligning operational processes with cutting-edge IT infrastructure.</w:t>
      </w:r>
    </w:p>
    <w:p>
      <w:pPr>
        <w:keepNext/>
        <w:spacing w:before="280" w:after="120"/>
        <w:pBdr>
          <w:bottom w:val="single" w:sz="12" w:space="4" w:color="18227C"/>
        </w:pBdr>
      </w:pPr>
      <w:r>
        <w:rPr>
          <w:rFonts w:ascii="Calibri" w:hAnsi="Calibri"/>
          <w:b/>
          <w:color w:val="18227C"/>
          <w:sz w:val="24"/>
        </w:rPr>
        <w:t>CORE COMPETENCIES &amp;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Cloud Architecture</w:t>
            </w:r>
          </w:p>
        </w:tc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DevOps &amp; CI/CD</w:t>
            </w:r>
          </w:p>
        </w:tc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Python &amp; Go</w:t>
            </w:r>
          </w:p>
        </w:tc>
      </w:tr>
      <w:tr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Process Automation</w:t>
            </w:r>
          </w:p>
        </w:tc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Strategic Planning</w:t>
            </w:r>
          </w:p>
        </w:tc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Agile / Scrum</w:t>
            </w:r>
          </w:p>
        </w:tc>
      </w:tr>
      <w:tr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Enterprise ERP</w:t>
            </w:r>
          </w:p>
        </w:tc>
        <w:tc>
          <w:tcPr>
            <w:tcW w:type="dxa" w:w="32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color w:val="00B5B8"/>
                <w:sz w:val="19"/>
              </w:rPr>
              <w:t xml:space="preserve">▪  </w:t>
            </w:r>
            <w:r>
              <w:rPr>
                <w:rFonts w:ascii="Calibri" w:hAnsi="Calibri"/>
                <w:color w:val="1E293B"/>
                <w:sz w:val="20"/>
              </w:rPr>
              <w:t>Stakeholder Management</w:t>
            </w:r>
          </w:p>
        </w:tc>
        <w:tc>
          <w:tcPr>
            <w:tcW w:type="dxa" w:w="3264"/>
          </w:tcPr>
          <w:p/>
        </w:tc>
      </w:tr>
    </w:tbl>
    <w:p>
      <w:pPr>
        <w:spacing w:before="40" w:after="40"/>
      </w:pPr>
    </w:p>
    <w:p>
      <w:pPr>
        <w:keepNext/>
        <w:spacing w:before="280" w:after="120"/>
        <w:pBdr>
          <w:bottom w:val="single" w:sz="12" w:space="4" w:color="18227C"/>
        </w:pBdr>
      </w:pPr>
      <w:r>
        <w:rPr>
          <w:rFonts w:ascii="Calibri" w:hAnsi="Calibri"/>
          <w:b/>
          <w:color w:val="18227C"/>
          <w:sz w:val="24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912"/>
            <w:tcMar>
              <w:top w:w="40" w:type="dxa"/>
              <w:bottom w:w="20" w:type="dxa"/>
              <w:left w:w="0" w:type="dxa"/>
              <w:right w:w="50" w:type="dxa"/>
            </w:tcMar>
          </w:tcPr>
          <w:p>
            <w:pPr>
              <w:spacing w:before="60" w:after="20"/>
            </w:pPr>
            <w:r>
              <w:rPr>
                <w:rFonts w:ascii="Calibri" w:hAnsi="Calibri"/>
                <w:b/>
                <w:color w:val="18227C"/>
                <w:sz w:val="22"/>
              </w:rPr>
              <w:t>Principal Solutions Architect</w:t>
            </w:r>
            <w:r>
              <w:rPr>
                <w:rFonts w:ascii="Calibri" w:hAnsi="Calibri"/>
                <w:b/>
                <w:color w:val="475569"/>
                <w:sz w:val="21"/>
              </w:rPr>
              <w:t xml:space="preserve">  |  Global Tech Innovations</w:t>
            </w:r>
          </w:p>
        </w:tc>
        <w:tc>
          <w:tcPr>
            <w:tcW w:type="dxa" w:w="2880"/>
            <w:tcMar>
              <w:top w:w="40" w:type="dxa"/>
              <w:bottom w:w="20" w:type="dxa"/>
              <w:left w:w="5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2021 - Present  •  Dallas, TX</w:t>
            </w:r>
          </w:p>
        </w:tc>
      </w:tr>
    </w:tbl>
    <w:p>
      <w:pPr>
        <w:spacing w:before="20" w:after="50" w:line="276" w:lineRule="auto"/>
        <w:ind w:left="360"/>
      </w:pPr>
      <w:r>
        <w:rPr>
          <w:rFonts w:ascii="Calibri" w:hAnsi="Calibri"/>
          <w:b/>
          <w:color w:val="00B5B8"/>
        </w:rPr>
        <w:t xml:space="preserve">•  </w:t>
      </w:r>
      <w:r>
        <w:rPr>
          <w:rFonts w:ascii="Calibri" w:hAnsi="Calibri"/>
          <w:color w:val="1E293B"/>
          <w:sz w:val="20"/>
        </w:rPr>
        <w:t>Led end-to-end modernization of legacy infrastructure, reducing operational overhead by 34%.</w:t>
      </w:r>
    </w:p>
    <w:p>
      <w:pPr>
        <w:spacing w:before="20" w:after="50" w:line="276" w:lineRule="auto"/>
        <w:ind w:left="360"/>
      </w:pPr>
      <w:r>
        <w:rPr>
          <w:rFonts w:ascii="Calibri" w:hAnsi="Calibri"/>
          <w:b/>
          <w:color w:val="00B5B8"/>
        </w:rPr>
        <w:t xml:space="preserve">•  </w:t>
      </w:r>
      <w:r>
        <w:rPr>
          <w:rFonts w:ascii="Calibri" w:hAnsi="Calibri"/>
          <w:color w:val="1E293B"/>
          <w:sz w:val="20"/>
        </w:rPr>
        <w:t>Orchestrated cross-functional teams of 25+ engineers, ensuring 99.99% system availability.</w:t>
      </w:r>
    </w:p>
    <w:p>
      <w:pPr>
        <w:spacing w:before="20" w:after="50" w:line="276" w:lineRule="auto"/>
        <w:ind w:left="360"/>
      </w:pPr>
      <w:r>
        <w:rPr>
          <w:rFonts w:ascii="Calibri" w:hAnsi="Calibri"/>
          <w:b/>
          <w:color w:val="00B5B8"/>
        </w:rPr>
        <w:t xml:space="preserve">•  </w:t>
      </w:r>
      <w:r>
        <w:rPr>
          <w:rFonts w:ascii="Calibri" w:hAnsi="Calibri"/>
          <w:color w:val="1E293B"/>
          <w:sz w:val="20"/>
        </w:rPr>
        <w:t>Designed automated CI/CD deployment pipelines cutting release cycle from 3 weeks to 2 hours.</w:t>
      </w:r>
    </w:p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912"/>
            <w:tcMar>
              <w:top w:w="40" w:type="dxa"/>
              <w:bottom w:w="20" w:type="dxa"/>
              <w:left w:w="0" w:type="dxa"/>
              <w:right w:w="50" w:type="dxa"/>
            </w:tcMar>
          </w:tcPr>
          <w:p>
            <w:pPr>
              <w:spacing w:before="60" w:after="20"/>
            </w:pPr>
            <w:r>
              <w:rPr>
                <w:rFonts w:ascii="Calibri" w:hAnsi="Calibri"/>
                <w:b/>
                <w:color w:val="18227C"/>
                <w:sz w:val="22"/>
              </w:rPr>
              <w:t>Senior Systems Engineer</w:t>
            </w:r>
            <w:r>
              <w:rPr>
                <w:rFonts w:ascii="Calibri" w:hAnsi="Calibri"/>
                <w:b/>
                <w:color w:val="475569"/>
                <w:sz w:val="21"/>
              </w:rPr>
              <w:t xml:space="preserve">  |  Apex Dynamic Systems</w:t>
            </w:r>
          </w:p>
        </w:tc>
        <w:tc>
          <w:tcPr>
            <w:tcW w:type="dxa" w:w="2880"/>
            <w:tcMar>
              <w:top w:w="40" w:type="dxa"/>
              <w:bottom w:w="20" w:type="dxa"/>
              <w:left w:w="5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2016 - 2021  •  Austin, TX</w:t>
            </w:r>
          </w:p>
        </w:tc>
      </w:tr>
    </w:tbl>
    <w:p>
      <w:pPr>
        <w:spacing w:before="20" w:after="50" w:line="276" w:lineRule="auto"/>
        <w:ind w:left="360"/>
      </w:pPr>
      <w:r>
        <w:rPr>
          <w:rFonts w:ascii="Calibri" w:hAnsi="Calibri"/>
          <w:b/>
          <w:color w:val="00B5B8"/>
        </w:rPr>
        <w:t xml:space="preserve">•  </w:t>
      </w:r>
      <w:r>
        <w:rPr>
          <w:rFonts w:ascii="Calibri" w:hAnsi="Calibri"/>
          <w:color w:val="1E293B"/>
          <w:sz w:val="20"/>
        </w:rPr>
        <w:t>Implemented multi-region hybrid cloud solutions handling 10M+ daily transactions.</w:t>
      </w:r>
    </w:p>
    <w:p>
      <w:pPr>
        <w:spacing w:before="20" w:after="50" w:line="276" w:lineRule="auto"/>
        <w:ind w:left="360"/>
      </w:pPr>
      <w:r>
        <w:rPr>
          <w:rFonts w:ascii="Calibri" w:hAnsi="Calibri"/>
          <w:b/>
          <w:color w:val="00B5B8"/>
        </w:rPr>
        <w:t xml:space="preserve">•  </w:t>
      </w:r>
      <w:r>
        <w:rPr>
          <w:rFonts w:ascii="Calibri" w:hAnsi="Calibri"/>
          <w:color w:val="1E293B"/>
          <w:sz w:val="20"/>
        </w:rPr>
        <w:t>Authored operational playbooks and conducted disaster recovery drills for mission-critical databases.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12" w:space="4" w:color="18227C"/>
        </w:pBdr>
      </w:pPr>
      <w:r>
        <w:rPr>
          <w:rFonts w:ascii="Calibri" w:hAnsi="Calibri"/>
          <w:b/>
          <w:color w:val="18227C"/>
          <w:sz w:val="24"/>
        </w:rPr>
        <w:t>EDUCATION &amp;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912"/>
            <w:tcMar>
              <w:top w:w="30" w:type="dxa"/>
              <w:bottom w:w="20" w:type="dxa"/>
              <w:left w:w="0" w:type="dxa"/>
              <w:right w:w="50" w:type="dxa"/>
            </w:tcMar>
          </w:tcPr>
          <w:p>
            <w:pPr>
              <w:spacing w:before="40" w:after="20"/>
            </w:pPr>
            <w:r>
              <w:rPr>
                <w:rFonts w:ascii="Calibri" w:hAnsi="Calibri"/>
                <w:b/>
                <w:color w:val="18227C"/>
                <w:sz w:val="21"/>
              </w:rPr>
              <w:t>M.S. in Computer Engineering</w:t>
            </w:r>
            <w:r>
              <w:rPr>
                <w:rFonts w:ascii="Calibri" w:hAnsi="Calibri"/>
                <w:color w:val="475569"/>
                <w:sz w:val="20"/>
              </w:rPr>
              <w:t xml:space="preserve"> — University of Texas at Austin</w:t>
            </w:r>
          </w:p>
        </w:tc>
        <w:tc>
          <w:tcPr>
            <w:tcW w:type="dxa" w:w="2880"/>
            <w:tcMar>
              <w:top w:w="30" w:type="dxa"/>
              <w:bottom w:w="20" w:type="dxa"/>
              <w:left w:w="5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2014 - 2016</w:t>
            </w:r>
          </w:p>
        </w:tc>
      </w:tr>
    </w:tbl>
    <w:p>
      <w:pPr>
        <w:spacing w:before="0" w:after="60"/>
        <w:ind w:left="288"/>
      </w:pPr>
      <w:r>
        <w:rPr>
          <w:rFonts w:ascii="Calibri" w:hAnsi="Calibri"/>
          <w:color w:val="1E293B"/>
          <w:sz w:val="19"/>
        </w:rPr>
        <w:t>Graduated Magna Cum Laude</w:t>
      </w:r>
    </w:p>
    <w:p>
      <w:pPr>
        <w:keepNext/>
        <w:spacing w:before="280" w:after="120"/>
        <w:pBdr>
          <w:bottom w:val="single" w:sz="12" w:space="4" w:color="18227C"/>
        </w:pBdr>
      </w:pPr>
      <w:r>
        <w:rPr>
          <w:rFonts w:ascii="Calibri" w:hAnsi="Calibri"/>
          <w:b/>
          <w:color w:val="18227C"/>
          <w:sz w:val="24"/>
        </w:rPr>
        <w:t>CERTIFICATIONS &amp; HONORS</w:t>
      </w:r>
    </w:p>
    <w:p>
      <w:pPr>
        <w:spacing w:before="20" w:after="40"/>
        <w:ind w:left="288"/>
      </w:pPr>
      <w:r>
        <w:rPr>
          <w:color w:val="00B5B8"/>
          <w:sz w:val="19"/>
        </w:rPr>
        <w:t xml:space="preserve">✔  </w:t>
      </w:r>
      <w:r>
        <w:rPr>
          <w:rFonts w:ascii="Calibri" w:hAnsi="Calibri"/>
          <w:color w:val="1E293B"/>
          <w:sz w:val="20"/>
        </w:rPr>
        <w:t>AWS Certified Solutions Architect - Professional</w:t>
      </w:r>
    </w:p>
    <w:p>
      <w:pPr>
        <w:spacing w:before="20" w:after="40"/>
        <w:ind w:left="288"/>
      </w:pPr>
      <w:r>
        <w:rPr>
          <w:color w:val="00B5B8"/>
          <w:sz w:val="19"/>
        </w:rPr>
        <w:t xml:space="preserve">✔  </w:t>
      </w:r>
      <w:r>
        <w:rPr>
          <w:rFonts w:ascii="Calibri" w:hAnsi="Calibri"/>
          <w:color w:val="1E293B"/>
          <w:sz w:val="20"/>
        </w:rPr>
        <w:t>Certified Scrum Master (CSM)</w:t>
      </w:r>
    </w:p>
    <w:p>
      <w:pPr>
        <w:spacing w:before="20" w:after="40"/>
        <w:ind w:left="288"/>
      </w:pPr>
      <w:r>
        <w:rPr>
          <w:color w:val="00B5B8"/>
          <w:sz w:val="19"/>
        </w:rPr>
        <w:t xml:space="preserve">✔  </w:t>
      </w:r>
      <w:r>
        <w:rPr>
          <w:rFonts w:ascii="Calibri" w:hAnsi="Calibri"/>
          <w:color w:val="1E293B"/>
          <w:sz w:val="20"/>
        </w:rPr>
        <w:t>TOGAF 9.2 Enterprise Architect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pBdr>
        <w:top w:val="single" w:sz="4" w:space="3" w:color="00B5B8"/>
      </w:pBdr>
    </w:pPr>
    <w:r>
      <w:rPr>
        <w:rFonts w:ascii="Calibri" w:hAnsi="Calibri"/>
        <w:color w:val="475569"/>
        <w:sz w:val="16"/>
      </w:rPr>
      <w:t>Key Dynamics Solutions  •  Transform Your Operation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03120" cy="6531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mpany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6531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color w:val="475569"/>
              <w:sz w:val="16"/>
            </w:rPr>
            <w:t>CONFIDENTIAL CANDIDATE DOSSIER | KEY DYNAMICS SOLUTIONS</w:t>
          </w:r>
        </w:p>
      </w:tc>
    </w:tr>
  </w:tbl>
  <w:p>
    <w:pPr>
      <w:spacing w:before="80" w:after="0"/>
      <w:pBdr>
        <w:bottom w:val="single" w:sz="8" w:space="4" w:color="00B5B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