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CAVITE STATE UNIVERSITY</w:t>
        <w:br/>
      </w:r>
      <w:r>
        <w:rPr>
          <w:sz w:val="18"/>
        </w:rPr>
        <w:t>College of Engineering and Information Technology</w:t>
        <w:br/>
        <w:t>Don Severino delas Alas Campus, Indang, Cavite</w:t>
      </w:r>
    </w:p>
    <w:p>
      <w:pPr>
        <w:jc w:val="center"/>
      </w:pPr>
      <w:r>
        <w:rPr>
          <w:b/>
          <w:color w:val="18324A"/>
          <w:sz w:val="42"/>
        </w:rPr>
        <w:t>Software Requirements Specification</w:t>
      </w:r>
    </w:p>
    <w:p>
      <w:pPr>
        <w:jc w:val="center"/>
      </w:pPr>
      <w:r>
        <w:rPr>
          <w:i/>
          <w:sz w:val="22"/>
        </w:rPr>
        <w:t>RouteX: A Truck Profitability and Delivery Operations Management System | Version 1.1</w:t>
      </w:r>
    </w:p>
    <w:p>
      <w:pPr>
        <w:jc w:val="center"/>
      </w:pPr>
      <w:r>
        <w:t>Prepared for Redeemed Route Logistics Inc.</w:t>
      </w:r>
    </w:p>
    <w:p>
      <w:pPr>
        <w:jc w:val="center"/>
      </w:pPr>
      <w:r>
        <w:t>Updated: October 2026 | Revised to reflect the latest confirmed client workflow and RouteX scope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7F0"/>
          </w:tcPr>
          <w:p>
            <w:pPr>
              <w:spacing w:after="40"/>
            </w:pPr>
            <w:r/>
            <w:r>
              <w:rPr>
                <w:rFonts w:ascii="Arial" w:hAnsi="Arial"/>
                <w:b/>
                <w:sz w:val="18"/>
              </w:rPr>
              <w:t>Field</w:t>
            </w:r>
          </w:p>
        </w:tc>
        <w:tc>
          <w:tcPr>
            <w:tcW w:type="dxa" w:w="5040"/>
            <w:vAlign w:val="center"/>
            <w:shd w:fill="D9E7F0"/>
          </w:tcPr>
          <w:p>
            <w:pPr>
              <w:spacing w:after="40"/>
            </w:pPr>
            <w:r/>
            <w:r>
              <w:rPr>
                <w:rFonts w:ascii="Arial" w:hAnsi="Arial"/>
                <w:b/>
                <w:sz w:val="18"/>
              </w:rPr>
              <w:t>Value</w:t>
            </w:r>
          </w:p>
        </w:tc>
      </w:tr>
      <w:tr>
        <w:tc>
          <w:tcPr>
            <w:tcW w:type="dxa" w:w="5040"/>
            <w:vAlign w:val="center"/>
          </w:tcPr>
          <w:p>
            <w:pPr>
              <w:spacing w:after="40"/>
            </w:pPr>
            <w:r/>
            <w:r>
              <w:rPr>
                <w:rFonts w:ascii="Arial" w:hAnsi="Arial"/>
                <w:b w:val="0"/>
                <w:sz w:val="16"/>
              </w:rPr>
              <w:t>Prepared for</w:t>
            </w:r>
          </w:p>
        </w:tc>
        <w:tc>
          <w:tcPr>
            <w:tcW w:type="dxa" w:w="5040"/>
            <w:vAlign w:val="center"/>
          </w:tcPr>
          <w:p>
            <w:pPr>
              <w:spacing w:after="40"/>
            </w:pPr>
            <w:r/>
            <w:r>
              <w:rPr>
                <w:rFonts w:ascii="Arial" w:hAnsi="Arial"/>
                <w:b w:val="0"/>
                <w:sz w:val="16"/>
              </w:rPr>
              <w:t>Redeemed Route Logistics Inc.</w:t>
            </w:r>
          </w:p>
        </w:tc>
      </w:tr>
      <w:tr>
        <w:tc>
          <w:tcPr>
            <w:tcW w:type="dxa" w:w="5040"/>
            <w:vAlign w:val="center"/>
          </w:tcPr>
          <w:p>
            <w:pPr>
              <w:spacing w:after="40"/>
            </w:pPr>
            <w:r/>
            <w:r>
              <w:rPr>
                <w:rFonts w:ascii="Arial" w:hAnsi="Arial"/>
                <w:b w:val="0"/>
                <w:sz w:val="16"/>
              </w:rPr>
              <w:t>Version</w:t>
            </w:r>
          </w:p>
        </w:tc>
        <w:tc>
          <w:tcPr>
            <w:tcW w:type="dxa" w:w="5040"/>
            <w:vAlign w:val="center"/>
          </w:tcPr>
          <w:p>
            <w:pPr>
              <w:spacing w:after="40"/>
            </w:pPr>
            <w:r/>
            <w:r>
              <w:rPr>
                <w:rFonts w:ascii="Arial" w:hAnsi="Arial"/>
                <w:b w:val="0"/>
                <w:sz w:val="16"/>
              </w:rPr>
              <w:t>1.1 working revision</w:t>
            </w:r>
          </w:p>
        </w:tc>
      </w:tr>
      <w:tr>
        <w:tc>
          <w:tcPr>
            <w:tcW w:type="dxa" w:w="5040"/>
            <w:vAlign w:val="center"/>
          </w:tcPr>
          <w:p>
            <w:pPr>
              <w:spacing w:after="40"/>
            </w:pPr>
            <w:r/>
            <w:r>
              <w:rPr>
                <w:rFonts w:ascii="Arial" w:hAnsi="Arial"/>
                <w:b w:val="0"/>
                <w:sz w:val="16"/>
              </w:rPr>
              <w:t>Revision reason</w:t>
            </w:r>
          </w:p>
        </w:tc>
        <w:tc>
          <w:tcPr>
            <w:tcW w:type="dxa" w:w="5040"/>
            <w:vAlign w:val="center"/>
          </w:tcPr>
          <w:p>
            <w:pPr>
              <w:spacing w:after="40"/>
            </w:pPr>
            <w:r/>
            <w:r>
              <w:rPr>
                <w:rFonts w:ascii="Arial" w:hAnsi="Arial"/>
                <w:b w:val="0"/>
                <w:sz w:val="16"/>
              </w:rPr>
              <w:t>Aligned with latest clarified department responsibilities, post-delivery record entry, company expenses, HR compensation summaries, and technical stack.</w:t>
            </w:r>
          </w:p>
        </w:tc>
      </w:tr>
      <w:tr>
        <w:tc>
          <w:tcPr>
            <w:tcW w:type="dxa" w:w="5040"/>
            <w:vAlign w:val="center"/>
          </w:tcPr>
          <w:p>
            <w:pPr>
              <w:spacing w:after="40"/>
            </w:pPr>
            <w:r/>
            <w:r>
              <w:rPr>
                <w:rFonts w:ascii="Arial" w:hAnsi="Arial"/>
                <w:b w:val="0"/>
                <w:sz w:val="16"/>
              </w:rPr>
              <w:t>Status</w:t>
            </w:r>
          </w:p>
        </w:tc>
        <w:tc>
          <w:tcPr>
            <w:tcW w:type="dxa" w:w="5040"/>
            <w:vAlign w:val="center"/>
          </w:tcPr>
          <w:p>
            <w:pPr>
              <w:spacing w:after="40"/>
            </w:pPr>
            <w:r/>
            <w:r>
              <w:rPr>
                <w:rFonts w:ascii="Arial" w:hAnsi="Arial"/>
                <w:b w:val="0"/>
                <w:sz w:val="16"/>
              </w:rPr>
              <w:t>Draft for client/team validation; unresolved business rules are listed as TBD.</w:t>
            </w:r>
          </w:p>
        </w:tc>
      </w:tr>
    </w:tbl>
    <w:p/>
    <w:p>
      <w:pPr>
        <w:pStyle w:val="Heading1"/>
      </w:pPr>
      <w:r>
        <w:t>1. Introduction</w:t>
      </w:r>
    </w:p>
    <w:p>
      <w:pPr>
        <w:pStyle w:val="Heading2"/>
      </w:pPr>
      <w:r>
        <w:t>1.1 Purpose</w:t>
      </w:r>
    </w:p>
    <w:p>
      <w:r>
        <w:t>This SRS defines the proposed functional and nonfunctional requirements for RouteX, an internal web-based system that centralizes completed-delivery records and related financial information so authorized personnel can retrieve records and review delivery, truck, and company performance.</w:t>
      </w:r>
    </w:p>
    <w:p>
      <w:pPr>
        <w:pStyle w:val="Heading2"/>
      </w:pPr>
      <w:r>
        <w:t>1.2 Scope</w:t>
      </w:r>
    </w:p>
    <w:p>
      <w:pPr>
        <w:pStyle w:val="ListBullet"/>
      </w:pPr>
      <w:r>
        <w:t>Completed-delivery transaction recording by Operations.</w:t>
      </w:r>
    </w:p>
    <w:p>
      <w:pPr>
        <w:pStyle w:val="ListBullet"/>
      </w:pPr>
      <w:r>
        <w:t>Truck/fleet, client, driver/helper, revenue, delivery expense, and POD records.</w:t>
      </w:r>
    </w:p>
    <w:p>
      <w:pPr>
        <w:pStyle w:val="ListBullet"/>
      </w:pPr>
      <w:r>
        <w:t>Company operating expenses not attributable to a specific delivery, recorded by Finance.</w:t>
      </w:r>
    </w:p>
    <w:p>
      <w:pPr>
        <w:pStyle w:val="ListBullet"/>
      </w:pPr>
      <w:r>
        <w:t>Compensation amounts payable or period summaries recorded by HR.</w:t>
      </w:r>
    </w:p>
    <w:p>
      <w:pPr>
        <w:pStyle w:val="ListBullet"/>
      </w:pPr>
      <w:r>
        <w:t>Search, date filters, truck/delivery profitability, operational/financial reports, user access, activity logs, and audit trails.</w:t>
      </w:r>
    </w:p>
    <w:p>
      <w:pPr>
        <w:pStyle w:val="Heading2"/>
      </w:pPr>
      <w:r>
        <w:t>1.3 Out of Scope</w:t>
      </w:r>
    </w:p>
    <w:p>
      <w:pPr>
        <w:pStyle w:val="ListBullet"/>
      </w:pPr>
      <w:r>
        <w:t>Automatic GPS tracking, live location maps, telemetry, or tracking-device integration.</w:t>
      </w:r>
    </w:p>
    <w:p>
      <w:pPr>
        <w:pStyle w:val="ListBullet"/>
      </w:pPr>
      <w:r>
        <w:t>Route optimization, automatic dispatch, customer portal, and customer-facing online booking.</w:t>
      </w:r>
    </w:p>
    <w:p>
      <w:pPr>
        <w:pStyle w:val="ListBullet"/>
      </w:pPr>
      <w:r>
        <w:t>Full accounting replacement, BIR filing, statutory reporting automation, and full payroll processing unless separately approved.</w:t>
      </w:r>
    </w:p>
    <w:p>
      <w:pPr>
        <w:pStyle w:val="ListBullet"/>
      </w:pPr>
      <w:r>
        <w:t>Automatic data import from third-party platforms unless separately approved.</w:t>
      </w:r>
    </w:p>
    <w:p>
      <w:pPr>
        <w:pStyle w:val="Heading2"/>
      </w:pPr>
      <w:r>
        <w:t>1.4 Product Perspective</w:t>
      </w:r>
    </w:p>
    <w:p>
      <w:r>
        <w:t>RouteX is partially automated. Staff enter operational and financial source information; the system validates, stores, retrieves, aggregates, and calculates from recorded data. Operations records a delivery transaction after the actual delivery is completed. It is not a live dispatch or GPS system.</w:t>
      </w:r>
    </w:p>
    <w:p>
      <w:pPr>
        <w:pStyle w:val="Heading2"/>
      </w:pPr>
      <w:r>
        <w:t>1.5 User Classes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7F0"/>
          </w:tcPr>
          <w:p>
            <w:pPr>
              <w:spacing w:after="40"/>
            </w:pPr>
            <w:r/>
            <w:r>
              <w:rPr>
                <w:rFonts w:ascii="Arial" w:hAnsi="Arial"/>
                <w:b/>
                <w:sz w:val="18"/>
              </w:rPr>
              <w:t>User class</w:t>
            </w:r>
          </w:p>
        </w:tc>
        <w:tc>
          <w:tcPr>
            <w:tcW w:type="dxa" w:w="3360"/>
            <w:vAlign w:val="center"/>
            <w:shd w:fill="D9E7F0"/>
          </w:tcPr>
          <w:p>
            <w:pPr>
              <w:spacing w:after="40"/>
            </w:pPr>
            <w:r/>
            <w:r>
              <w:rPr>
                <w:rFonts w:ascii="Arial" w:hAnsi="Arial"/>
                <w:b/>
                <w:sz w:val="18"/>
              </w:rPr>
              <w:t>Expected capabilities</w:t>
            </w:r>
          </w:p>
        </w:tc>
        <w:tc>
          <w:tcPr>
            <w:tcW w:type="dxa" w:w="3360"/>
            <w:vAlign w:val="center"/>
            <w:shd w:fill="D9E7F0"/>
          </w:tcPr>
          <w:p>
            <w:pPr>
              <w:spacing w:after="40"/>
            </w:pPr>
            <w:r/>
            <w:r>
              <w:rPr>
                <w:rFonts w:ascii="Arial" w:hAnsi="Arial"/>
                <w:b/>
                <w:sz w:val="18"/>
              </w:rPr>
              <w:t>Notes</w:t>
            </w:r>
          </w:p>
        </w:tc>
      </w:tr>
      <w:tr>
        <w:tc>
          <w:tcPr>
            <w:tcW w:type="dxa" w:w="3360"/>
            <w:vAlign w:val="center"/>
          </w:tcPr>
          <w:p>
            <w:pPr>
              <w:spacing w:after="40"/>
            </w:pPr>
            <w:r/>
            <w:r>
              <w:rPr>
                <w:rFonts w:ascii="Arial" w:hAnsi="Arial"/>
                <w:b w:val="0"/>
                <w:sz w:val="16"/>
              </w:rPr>
              <w:t>Operations</w:t>
            </w:r>
          </w:p>
        </w:tc>
        <w:tc>
          <w:tcPr>
            <w:tcW w:type="dxa" w:w="3360"/>
            <w:vAlign w:val="center"/>
          </w:tcPr>
          <w:p>
            <w:pPr>
              <w:spacing w:after="40"/>
            </w:pPr>
            <w:r/>
            <w:r>
              <w:rPr>
                <w:rFonts w:ascii="Arial" w:hAnsi="Arial"/>
                <w:b w:val="0"/>
                <w:sz w:val="16"/>
              </w:rPr>
              <w:t>Create/update completed-delivery records, assignments, delivery timing, revenue/charges, delivery expenses, and POD.</w:t>
            </w:r>
          </w:p>
        </w:tc>
        <w:tc>
          <w:tcPr>
            <w:tcW w:type="dxa" w:w="3360"/>
            <w:vAlign w:val="center"/>
          </w:tcPr>
          <w:p>
            <w:pPr>
              <w:spacing w:after="40"/>
            </w:pPr>
            <w:r/>
            <w:r>
              <w:rPr>
                <w:rFonts w:ascii="Arial" w:hAnsi="Arial"/>
                <w:b w:val="0"/>
                <w:sz w:val="16"/>
              </w:rPr>
              <w:t>Exact edit/delete approval rules TBD.</w:t>
            </w:r>
          </w:p>
        </w:tc>
      </w:tr>
      <w:tr>
        <w:tc>
          <w:tcPr>
            <w:tcW w:type="dxa" w:w="3360"/>
            <w:vAlign w:val="center"/>
          </w:tcPr>
          <w:p>
            <w:pPr>
              <w:spacing w:after="40"/>
            </w:pPr>
            <w:r/>
            <w:r>
              <w:rPr>
                <w:rFonts w:ascii="Arial" w:hAnsi="Arial"/>
                <w:b w:val="0"/>
                <w:sz w:val="16"/>
              </w:rPr>
              <w:t>Finance</w:t>
            </w:r>
          </w:p>
        </w:tc>
        <w:tc>
          <w:tcPr>
            <w:tcW w:type="dxa" w:w="3360"/>
            <w:vAlign w:val="center"/>
          </w:tcPr>
          <w:p>
            <w:pPr>
              <w:spacing w:after="40"/>
            </w:pPr>
            <w:r/>
            <w:r>
              <w:rPr>
                <w:rFonts w:ascii="Arial" w:hAnsi="Arial"/>
                <w:b w:val="0"/>
                <w:sz w:val="16"/>
              </w:rPr>
              <w:t>Create/update/review non-delivery company expenses and supporting documents.</w:t>
            </w:r>
          </w:p>
        </w:tc>
        <w:tc>
          <w:tcPr>
            <w:tcW w:type="dxa" w:w="3360"/>
            <w:vAlign w:val="center"/>
          </w:tcPr>
          <w:p>
            <w:pPr>
              <w:spacing w:after="40"/>
            </w:pPr>
            <w:r/>
            <w:r>
              <w:rPr>
                <w:rFonts w:ascii="Arial" w:hAnsi="Arial"/>
                <w:b w:val="0"/>
                <w:sz w:val="16"/>
              </w:rPr>
              <w:t>Does not automatically own HR compensation or all delivery expense entry.</w:t>
            </w:r>
          </w:p>
        </w:tc>
      </w:tr>
      <w:tr>
        <w:tc>
          <w:tcPr>
            <w:tcW w:type="dxa" w:w="3360"/>
            <w:vAlign w:val="center"/>
          </w:tcPr>
          <w:p>
            <w:pPr>
              <w:spacing w:after="40"/>
            </w:pPr>
            <w:r/>
            <w:r>
              <w:rPr>
                <w:rFonts w:ascii="Arial" w:hAnsi="Arial"/>
                <w:b w:val="0"/>
                <w:sz w:val="16"/>
              </w:rPr>
              <w:t>HR</w:t>
            </w:r>
          </w:p>
        </w:tc>
        <w:tc>
          <w:tcPr>
            <w:tcW w:type="dxa" w:w="3360"/>
            <w:vAlign w:val="center"/>
          </w:tcPr>
          <w:p>
            <w:pPr>
              <w:spacing w:after="40"/>
            </w:pPr>
            <w:r/>
            <w:r>
              <w:rPr>
                <w:rFonts w:ascii="Arial" w:hAnsi="Arial"/>
                <w:b w:val="0"/>
                <w:sz w:val="16"/>
              </w:rPr>
              <w:t>Create/update/review compensation amounts payable and period summaries for staff, drivers, and helpers.</w:t>
            </w:r>
          </w:p>
        </w:tc>
        <w:tc>
          <w:tcPr>
            <w:tcW w:type="dxa" w:w="3360"/>
            <w:vAlign w:val="center"/>
          </w:tcPr>
          <w:p>
            <w:pPr>
              <w:spacing w:after="40"/>
            </w:pPr>
            <w:r/>
            <w:r>
              <w:rPr>
                <w:rFonts w:ascii="Arial" w:hAnsi="Arial"/>
                <w:b w:val="0"/>
                <w:sz w:val="16"/>
              </w:rPr>
              <w:t>Full payroll engine not assumed.</w:t>
            </w:r>
          </w:p>
        </w:tc>
      </w:tr>
      <w:tr>
        <w:tc>
          <w:tcPr>
            <w:tcW w:type="dxa" w:w="3360"/>
            <w:vAlign w:val="center"/>
          </w:tcPr>
          <w:p>
            <w:pPr>
              <w:spacing w:after="40"/>
            </w:pPr>
            <w:r/>
            <w:r>
              <w:rPr>
                <w:rFonts w:ascii="Arial" w:hAnsi="Arial"/>
                <w:b w:val="0"/>
                <w:sz w:val="16"/>
              </w:rPr>
              <w:t>President / Management</w:t>
            </w:r>
          </w:p>
        </w:tc>
        <w:tc>
          <w:tcPr>
            <w:tcW w:type="dxa" w:w="3360"/>
            <w:vAlign w:val="center"/>
          </w:tcPr>
          <w:p>
            <w:pPr>
              <w:spacing w:after="40"/>
            </w:pPr>
            <w:r/>
            <w:r>
              <w:rPr>
                <w:rFonts w:ascii="Arial" w:hAnsi="Arial"/>
                <w:b w:val="0"/>
                <w:sz w:val="16"/>
              </w:rPr>
              <w:t>View permitted dashboards, search records, and review truck/delivery/company reports.</w:t>
            </w:r>
          </w:p>
        </w:tc>
        <w:tc>
          <w:tcPr>
            <w:tcW w:type="dxa" w:w="3360"/>
            <w:vAlign w:val="center"/>
          </w:tcPr>
          <w:p>
            <w:pPr>
              <w:spacing w:after="40"/>
            </w:pPr>
            <w:r/>
            <w:r>
              <w:rPr>
                <w:rFonts w:ascii="Arial" w:hAnsi="Arial"/>
                <w:b w:val="0"/>
                <w:sz w:val="16"/>
              </w:rPr>
              <w:t>Read-only versus edit permissions TBD.</w:t>
            </w:r>
          </w:p>
        </w:tc>
      </w:tr>
      <w:tr>
        <w:tc>
          <w:tcPr>
            <w:tcW w:type="dxa" w:w="3360"/>
            <w:vAlign w:val="center"/>
          </w:tcPr>
          <w:p>
            <w:pPr>
              <w:spacing w:after="40"/>
            </w:pPr>
            <w:r/>
            <w:r>
              <w:rPr>
                <w:rFonts w:ascii="Arial" w:hAnsi="Arial"/>
                <w:b w:val="0"/>
                <w:sz w:val="16"/>
              </w:rPr>
              <w:t>Administrator</w:t>
            </w:r>
          </w:p>
        </w:tc>
        <w:tc>
          <w:tcPr>
            <w:tcW w:type="dxa" w:w="3360"/>
            <w:vAlign w:val="center"/>
          </w:tcPr>
          <w:p>
            <w:pPr>
              <w:spacing w:after="40"/>
            </w:pPr>
            <w:r/>
            <w:r>
              <w:rPr>
                <w:rFonts w:ascii="Arial" w:hAnsi="Arial"/>
                <w:b w:val="0"/>
                <w:sz w:val="16"/>
              </w:rPr>
              <w:t>Manage users, approved roles, and access settings; review activity/audit records.</w:t>
            </w:r>
          </w:p>
        </w:tc>
        <w:tc>
          <w:tcPr>
            <w:tcW w:type="dxa" w:w="3360"/>
            <w:vAlign w:val="center"/>
          </w:tcPr>
          <w:p>
            <w:pPr>
              <w:spacing w:after="40"/>
            </w:pPr>
            <w:r/>
            <w:r>
              <w:rPr>
                <w:rFonts w:ascii="Arial" w:hAnsi="Arial"/>
                <w:b w:val="0"/>
                <w:sz w:val="16"/>
              </w:rPr>
              <w:t>Final assignment and role matrix TBD.</w:t>
            </w:r>
          </w:p>
        </w:tc>
      </w:tr>
    </w:tbl>
    <w:p/>
    <w:p>
      <w:pPr>
        <w:pStyle w:val="Heading1"/>
      </w:pPr>
      <w:r>
        <w:t>2.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7F0"/>
          </w:tcPr>
          <w:p>
            <w:pPr>
              <w:spacing w:after="40"/>
            </w:pPr>
            <w:r/>
            <w:r>
              <w:rPr>
                <w:rFonts w:ascii="Arial" w:hAnsi="Arial"/>
                <w:b/>
                <w:sz w:val="18"/>
              </w:rPr>
              <w:t>ID</w:t>
            </w:r>
          </w:p>
        </w:tc>
        <w:tc>
          <w:tcPr>
            <w:tcW w:type="dxa" w:w="3360"/>
            <w:vAlign w:val="center"/>
            <w:shd w:fill="D9E7F0"/>
          </w:tcPr>
          <w:p>
            <w:pPr>
              <w:spacing w:after="40"/>
            </w:pPr>
            <w:r/>
            <w:r>
              <w:rPr>
                <w:rFonts w:ascii="Arial" w:hAnsi="Arial"/>
                <w:b/>
                <w:sz w:val="18"/>
              </w:rPr>
              <w:t>Area</w:t>
            </w:r>
          </w:p>
        </w:tc>
        <w:tc>
          <w:tcPr>
            <w:tcW w:type="dxa" w:w="3360"/>
            <w:vAlign w:val="center"/>
            <w:shd w:fill="D9E7F0"/>
          </w:tcPr>
          <w:p>
            <w:pPr>
              <w:spacing w:after="40"/>
            </w:pPr>
            <w:r/>
            <w:r>
              <w:rPr>
                <w:rFonts w:ascii="Arial" w:hAnsi="Arial"/>
                <w:b/>
                <w:sz w:val="18"/>
              </w:rPr>
              <w:t>Requirement</w:t>
            </w:r>
          </w:p>
        </w:tc>
      </w:tr>
      <w:tr>
        <w:tc>
          <w:tcPr>
            <w:tcW w:type="dxa" w:w="3360"/>
            <w:vAlign w:val="center"/>
          </w:tcPr>
          <w:p>
            <w:pPr>
              <w:spacing w:after="40"/>
            </w:pPr>
            <w:r/>
            <w:r>
              <w:rPr>
                <w:rFonts w:ascii="Arial" w:hAnsi="Arial"/>
                <w:b w:val="0"/>
                <w:sz w:val="16"/>
              </w:rPr>
              <w:t>REQ-001</w:t>
            </w:r>
          </w:p>
        </w:tc>
        <w:tc>
          <w:tcPr>
            <w:tcW w:type="dxa" w:w="3360"/>
            <w:vAlign w:val="center"/>
          </w:tcPr>
          <w:p>
            <w:pPr>
              <w:spacing w:after="40"/>
            </w:pPr>
            <w:r/>
            <w:r>
              <w:rPr>
                <w:rFonts w:ascii="Arial" w:hAnsi="Arial"/>
                <w:b w:val="0"/>
                <w:sz w:val="16"/>
              </w:rPr>
              <w:t>Authentication</w:t>
            </w:r>
          </w:p>
        </w:tc>
        <w:tc>
          <w:tcPr>
            <w:tcW w:type="dxa" w:w="3360"/>
            <w:vAlign w:val="center"/>
          </w:tcPr>
          <w:p>
            <w:pPr>
              <w:spacing w:after="40"/>
            </w:pPr>
            <w:r/>
            <w:r>
              <w:rPr>
                <w:rFonts w:ascii="Arial" w:hAnsi="Arial"/>
                <w:b w:val="0"/>
                <w:sz w:val="16"/>
              </w:rPr>
              <w:t>The system shall require an authorized user to authenticate before accessing protected records.</w:t>
            </w:r>
          </w:p>
        </w:tc>
      </w:tr>
      <w:tr>
        <w:tc>
          <w:tcPr>
            <w:tcW w:type="dxa" w:w="3360"/>
            <w:vAlign w:val="center"/>
          </w:tcPr>
          <w:p>
            <w:pPr>
              <w:spacing w:after="40"/>
            </w:pPr>
            <w:r/>
            <w:r>
              <w:rPr>
                <w:rFonts w:ascii="Arial" w:hAnsi="Arial"/>
                <w:b w:val="0"/>
                <w:sz w:val="16"/>
              </w:rPr>
              <w:t>REQ-002</w:t>
            </w:r>
          </w:p>
        </w:tc>
        <w:tc>
          <w:tcPr>
            <w:tcW w:type="dxa" w:w="3360"/>
            <w:vAlign w:val="center"/>
          </w:tcPr>
          <w:p>
            <w:pPr>
              <w:spacing w:after="40"/>
            </w:pPr>
            <w:r/>
            <w:r>
              <w:rPr>
                <w:rFonts w:ascii="Arial" w:hAnsi="Arial"/>
                <w:b w:val="0"/>
                <w:sz w:val="16"/>
              </w:rPr>
              <w:t>Authorization</w:t>
            </w:r>
          </w:p>
        </w:tc>
        <w:tc>
          <w:tcPr>
            <w:tcW w:type="dxa" w:w="3360"/>
            <w:vAlign w:val="center"/>
          </w:tcPr>
          <w:p>
            <w:pPr>
              <w:spacing w:after="40"/>
            </w:pPr>
            <w:r/>
            <w:r>
              <w:rPr>
                <w:rFonts w:ascii="Arial" w:hAnsi="Arial"/>
                <w:b w:val="0"/>
                <w:sz w:val="16"/>
              </w:rPr>
              <w:t>The system shall enforce role-based permissions on the server for protected pages, queries, mutations, exports, and file access.</w:t>
            </w:r>
          </w:p>
        </w:tc>
      </w:tr>
      <w:tr>
        <w:tc>
          <w:tcPr>
            <w:tcW w:type="dxa" w:w="3360"/>
            <w:vAlign w:val="center"/>
          </w:tcPr>
          <w:p>
            <w:pPr>
              <w:spacing w:after="40"/>
            </w:pPr>
            <w:r/>
            <w:r>
              <w:rPr>
                <w:rFonts w:ascii="Arial" w:hAnsi="Arial"/>
                <w:b w:val="0"/>
                <w:sz w:val="16"/>
              </w:rPr>
              <w:t>REQ-003</w:t>
            </w:r>
          </w:p>
        </w:tc>
        <w:tc>
          <w:tcPr>
            <w:tcW w:type="dxa" w:w="3360"/>
            <w:vAlign w:val="center"/>
          </w:tcPr>
          <w:p>
            <w:pPr>
              <w:spacing w:after="40"/>
            </w:pPr>
            <w:r/>
            <w:r>
              <w:rPr>
                <w:rFonts w:ascii="Arial" w:hAnsi="Arial"/>
                <w:b w:val="0"/>
                <w:sz w:val="16"/>
              </w:rPr>
              <w:t>Fleet records</w:t>
            </w:r>
          </w:p>
        </w:tc>
        <w:tc>
          <w:tcPr>
            <w:tcW w:type="dxa" w:w="3360"/>
            <w:vAlign w:val="center"/>
          </w:tcPr>
          <w:p>
            <w:pPr>
              <w:spacing w:after="40"/>
            </w:pPr>
            <w:r/>
            <w:r>
              <w:rPr>
                <w:rFonts w:ascii="Arial" w:hAnsi="Arial"/>
                <w:b w:val="0"/>
                <w:sz w:val="16"/>
              </w:rPr>
              <w:t>Authorized users shall be able to maintain truck records including plate number, ownership category (owned/subcontracted), truck type (including 4-wheeler and 6-wheeler), and status.</w:t>
            </w:r>
          </w:p>
        </w:tc>
      </w:tr>
      <w:tr>
        <w:tc>
          <w:tcPr>
            <w:tcW w:type="dxa" w:w="3360"/>
            <w:vAlign w:val="center"/>
          </w:tcPr>
          <w:p>
            <w:pPr>
              <w:spacing w:after="40"/>
            </w:pPr>
            <w:r/>
            <w:r>
              <w:rPr>
                <w:rFonts w:ascii="Arial" w:hAnsi="Arial"/>
                <w:b w:val="0"/>
                <w:sz w:val="16"/>
              </w:rPr>
              <w:t>REQ-004</w:t>
            </w:r>
          </w:p>
        </w:tc>
        <w:tc>
          <w:tcPr>
            <w:tcW w:type="dxa" w:w="3360"/>
            <w:vAlign w:val="center"/>
          </w:tcPr>
          <w:p>
            <w:pPr>
              <w:spacing w:after="40"/>
            </w:pPr>
            <w:r/>
            <w:r>
              <w:rPr>
                <w:rFonts w:ascii="Arial" w:hAnsi="Arial"/>
                <w:b w:val="0"/>
                <w:sz w:val="16"/>
              </w:rPr>
              <w:t>Reference records</w:t>
            </w:r>
          </w:p>
        </w:tc>
        <w:tc>
          <w:tcPr>
            <w:tcW w:type="dxa" w:w="3360"/>
            <w:vAlign w:val="center"/>
          </w:tcPr>
          <w:p>
            <w:pPr>
              <w:spacing w:after="40"/>
            </w:pPr>
            <w:r/>
            <w:r>
              <w:rPr>
                <w:rFonts w:ascii="Arial" w:hAnsi="Arial"/>
                <w:b w:val="0"/>
                <w:sz w:val="16"/>
              </w:rPr>
              <w:t>The system shall maintain the client and employee/crew records required to associate a delivery with a client, driver, and one or two helpers where applicable.</w:t>
            </w:r>
          </w:p>
        </w:tc>
      </w:tr>
      <w:tr>
        <w:tc>
          <w:tcPr>
            <w:tcW w:type="dxa" w:w="3360"/>
            <w:vAlign w:val="center"/>
          </w:tcPr>
          <w:p>
            <w:pPr>
              <w:spacing w:after="40"/>
            </w:pPr>
            <w:r/>
            <w:r>
              <w:rPr>
                <w:rFonts w:ascii="Arial" w:hAnsi="Arial"/>
                <w:b w:val="0"/>
                <w:sz w:val="16"/>
              </w:rPr>
              <w:t>REQ-005</w:t>
            </w:r>
          </w:p>
        </w:tc>
        <w:tc>
          <w:tcPr>
            <w:tcW w:type="dxa" w:w="3360"/>
            <w:vAlign w:val="center"/>
          </w:tcPr>
          <w:p>
            <w:pPr>
              <w:spacing w:after="40"/>
            </w:pPr>
            <w:r/>
            <w:r>
              <w:rPr>
                <w:rFonts w:ascii="Arial" w:hAnsi="Arial"/>
                <w:b w:val="0"/>
                <w:sz w:val="16"/>
              </w:rPr>
              <w:t>Completed delivery entry</w:t>
            </w:r>
          </w:p>
        </w:tc>
        <w:tc>
          <w:tcPr>
            <w:tcW w:type="dxa" w:w="3360"/>
            <w:vAlign w:val="center"/>
          </w:tcPr>
          <w:p>
            <w:pPr>
              <w:spacing w:after="40"/>
            </w:pPr>
            <w:r/>
            <w:r>
              <w:rPr>
                <w:rFonts w:ascii="Arial" w:hAnsi="Arial"/>
                <w:b w:val="0"/>
                <w:sz w:val="16"/>
              </w:rPr>
              <w:t>Operations shall be able to create a delivery transaction record after the actual delivery has been completed.</w:t>
            </w:r>
          </w:p>
        </w:tc>
      </w:tr>
      <w:tr>
        <w:tc>
          <w:tcPr>
            <w:tcW w:type="dxa" w:w="3360"/>
            <w:vAlign w:val="center"/>
          </w:tcPr>
          <w:p>
            <w:pPr>
              <w:spacing w:after="40"/>
            </w:pPr>
            <w:r/>
            <w:r>
              <w:rPr>
                <w:rFonts w:ascii="Arial" w:hAnsi="Arial"/>
                <w:b w:val="0"/>
                <w:sz w:val="16"/>
              </w:rPr>
              <w:t>REQ-006</w:t>
            </w:r>
          </w:p>
        </w:tc>
        <w:tc>
          <w:tcPr>
            <w:tcW w:type="dxa" w:w="3360"/>
            <w:vAlign w:val="center"/>
          </w:tcPr>
          <w:p>
            <w:pPr>
              <w:spacing w:after="40"/>
            </w:pPr>
            <w:r/>
            <w:r>
              <w:rPr>
                <w:rFonts w:ascii="Arial" w:hAnsi="Arial"/>
                <w:b w:val="0"/>
                <w:sz w:val="16"/>
              </w:rPr>
              <w:t>Delivery details</w:t>
            </w:r>
          </w:p>
        </w:tc>
        <w:tc>
          <w:tcPr>
            <w:tcW w:type="dxa" w:w="3360"/>
            <w:vAlign w:val="center"/>
          </w:tcPr>
          <w:p>
            <w:pPr>
              <w:spacing w:after="40"/>
            </w:pPr>
            <w:r/>
            <w:r>
              <w:rPr>
                <w:rFonts w:ascii="Arial" w:hAnsi="Arial"/>
                <w:b w:val="0"/>
                <w:sz w:val="16"/>
              </w:rPr>
              <w:t>A delivery record shall support a unique delivery identifier, client, truck, driver/helper assignments, route or delivery locations, delivery date, relevant timestamps, revenue, delivery-attributable expenses, remarks, and POD linkage.</w:t>
            </w:r>
          </w:p>
        </w:tc>
      </w:tr>
      <w:tr>
        <w:tc>
          <w:tcPr>
            <w:tcW w:type="dxa" w:w="3360"/>
            <w:vAlign w:val="center"/>
          </w:tcPr>
          <w:p>
            <w:pPr>
              <w:spacing w:after="40"/>
            </w:pPr>
            <w:r/>
            <w:r>
              <w:rPr>
                <w:rFonts w:ascii="Arial" w:hAnsi="Arial"/>
                <w:b w:val="0"/>
                <w:sz w:val="16"/>
              </w:rPr>
              <w:t>REQ-007</w:t>
            </w:r>
          </w:p>
        </w:tc>
        <w:tc>
          <w:tcPr>
            <w:tcW w:type="dxa" w:w="3360"/>
            <w:vAlign w:val="center"/>
          </w:tcPr>
          <w:p>
            <w:pPr>
              <w:spacing w:after="40"/>
            </w:pPr>
            <w:r/>
            <w:r>
              <w:rPr>
                <w:rFonts w:ascii="Arial" w:hAnsi="Arial"/>
                <w:b w:val="0"/>
                <w:sz w:val="16"/>
              </w:rPr>
              <w:t>Timing details</w:t>
            </w:r>
          </w:p>
        </w:tc>
        <w:tc>
          <w:tcPr>
            <w:tcW w:type="dxa" w:w="3360"/>
            <w:vAlign w:val="center"/>
          </w:tcPr>
          <w:p>
            <w:pPr>
              <w:spacing w:after="40"/>
            </w:pPr>
            <w:r/>
            <w:r>
              <w:rPr>
                <w:rFonts w:ascii="Arial" w:hAnsi="Arial"/>
                <w:b w:val="0"/>
                <w:sz w:val="16"/>
              </w:rPr>
              <w:t>The system shall support the client-confirmed timing fields Call Time, ETA/arrival at store, Start Loading, End Loading, and Departure. Definitions and requiredness remain TBD.</w:t>
            </w:r>
          </w:p>
        </w:tc>
      </w:tr>
      <w:tr>
        <w:tc>
          <w:tcPr>
            <w:tcW w:type="dxa" w:w="3360"/>
            <w:vAlign w:val="center"/>
          </w:tcPr>
          <w:p>
            <w:pPr>
              <w:spacing w:after="40"/>
            </w:pPr>
            <w:r/>
            <w:r>
              <w:rPr>
                <w:rFonts w:ascii="Arial" w:hAnsi="Arial"/>
                <w:b w:val="0"/>
                <w:sz w:val="16"/>
              </w:rPr>
              <w:t>REQ-008</w:t>
            </w:r>
          </w:p>
        </w:tc>
        <w:tc>
          <w:tcPr>
            <w:tcW w:type="dxa" w:w="3360"/>
            <w:vAlign w:val="center"/>
          </w:tcPr>
          <w:p>
            <w:pPr>
              <w:spacing w:after="40"/>
            </w:pPr>
            <w:r/>
            <w:r>
              <w:rPr>
                <w:rFonts w:ascii="Arial" w:hAnsi="Arial"/>
                <w:b w:val="0"/>
                <w:sz w:val="16"/>
              </w:rPr>
              <w:t>Revenue and charges</w:t>
            </w:r>
          </w:p>
        </w:tc>
        <w:tc>
          <w:tcPr>
            <w:tcW w:type="dxa" w:w="3360"/>
            <w:vAlign w:val="center"/>
          </w:tcPr>
          <w:p>
            <w:pPr>
              <w:spacing w:after="40"/>
            </w:pPr>
            <w:r/>
            <w:r>
              <w:rPr>
                <w:rFonts w:ascii="Arial" w:hAnsi="Arial"/>
                <w:b w:val="0"/>
                <w:sz w:val="16"/>
              </w:rPr>
              <w:t>The system shall store base delivery revenue and approved additional revenue charges as separately identifiable entries when required by the confirmed business rule.</w:t>
            </w:r>
          </w:p>
        </w:tc>
      </w:tr>
      <w:tr>
        <w:tc>
          <w:tcPr>
            <w:tcW w:type="dxa" w:w="3360"/>
            <w:vAlign w:val="center"/>
          </w:tcPr>
          <w:p>
            <w:pPr>
              <w:spacing w:after="40"/>
            </w:pPr>
            <w:r/>
            <w:r>
              <w:rPr>
                <w:rFonts w:ascii="Arial" w:hAnsi="Arial"/>
                <w:b w:val="0"/>
                <w:sz w:val="16"/>
              </w:rPr>
              <w:t>REQ-009</w:t>
            </w:r>
          </w:p>
        </w:tc>
        <w:tc>
          <w:tcPr>
            <w:tcW w:type="dxa" w:w="3360"/>
            <w:vAlign w:val="center"/>
          </w:tcPr>
          <w:p>
            <w:pPr>
              <w:spacing w:after="40"/>
            </w:pPr>
            <w:r/>
            <w:r>
              <w:rPr>
                <w:rFonts w:ascii="Arial" w:hAnsi="Arial"/>
                <w:b w:val="0"/>
                <w:sz w:val="16"/>
              </w:rPr>
              <w:t>Delivery expenses</w:t>
            </w:r>
          </w:p>
        </w:tc>
        <w:tc>
          <w:tcPr>
            <w:tcW w:type="dxa" w:w="3360"/>
            <w:vAlign w:val="center"/>
          </w:tcPr>
          <w:p>
            <w:pPr>
              <w:spacing w:after="40"/>
            </w:pPr>
            <w:r/>
            <w:r>
              <w:rPr>
                <w:rFonts w:ascii="Arial" w:hAnsi="Arial"/>
                <w:b w:val="0"/>
                <w:sz w:val="16"/>
              </w:rPr>
              <w:t>The system shall support delivery-attributable expense entries. Candidate categories include Fuel, Labor, Toll, Other, Permits, Entry Fees, Overtime, Demurrage, and Additional Drops; final classification is TBD.</w:t>
            </w:r>
          </w:p>
        </w:tc>
      </w:tr>
      <w:tr>
        <w:tc>
          <w:tcPr>
            <w:tcW w:type="dxa" w:w="3360"/>
            <w:vAlign w:val="center"/>
          </w:tcPr>
          <w:p>
            <w:pPr>
              <w:spacing w:after="40"/>
            </w:pPr>
            <w:r/>
            <w:r>
              <w:rPr>
                <w:rFonts w:ascii="Arial" w:hAnsi="Arial"/>
                <w:b w:val="0"/>
                <w:sz w:val="16"/>
              </w:rPr>
              <w:t>REQ-010</w:t>
            </w:r>
          </w:p>
        </w:tc>
        <w:tc>
          <w:tcPr>
            <w:tcW w:type="dxa" w:w="3360"/>
            <w:vAlign w:val="center"/>
          </w:tcPr>
          <w:p>
            <w:pPr>
              <w:spacing w:after="40"/>
            </w:pPr>
            <w:r/>
            <w:r>
              <w:rPr>
                <w:rFonts w:ascii="Arial" w:hAnsi="Arial"/>
                <w:b w:val="0"/>
                <w:sz w:val="16"/>
              </w:rPr>
              <w:t>Delivery calculation</w:t>
            </w:r>
          </w:p>
        </w:tc>
        <w:tc>
          <w:tcPr>
            <w:tcW w:type="dxa" w:w="3360"/>
            <w:vAlign w:val="center"/>
          </w:tcPr>
          <w:p>
            <w:pPr>
              <w:spacing w:after="40"/>
            </w:pPr>
            <w:r/>
            <w:r>
              <w:rPr>
                <w:rFonts w:ascii="Arial" w:hAnsi="Arial"/>
                <w:b w:val="0"/>
                <w:sz w:val="16"/>
              </w:rPr>
              <w:t>The system shall calculate delivery-level financial metrics from recorded values using a client-approved formula and shall not allow derived margin values to be directly edited.</w:t>
            </w:r>
          </w:p>
        </w:tc>
      </w:tr>
      <w:tr>
        <w:tc>
          <w:tcPr>
            <w:tcW w:type="dxa" w:w="3360"/>
            <w:vAlign w:val="center"/>
          </w:tcPr>
          <w:p>
            <w:pPr>
              <w:spacing w:after="40"/>
            </w:pPr>
            <w:r/>
            <w:r>
              <w:rPr>
                <w:rFonts w:ascii="Arial" w:hAnsi="Arial"/>
                <w:b w:val="0"/>
                <w:sz w:val="16"/>
              </w:rPr>
              <w:t>REQ-011</w:t>
            </w:r>
          </w:p>
        </w:tc>
        <w:tc>
          <w:tcPr>
            <w:tcW w:type="dxa" w:w="3360"/>
            <w:vAlign w:val="center"/>
          </w:tcPr>
          <w:p>
            <w:pPr>
              <w:spacing w:after="40"/>
            </w:pPr>
            <w:r/>
            <w:r>
              <w:rPr>
                <w:rFonts w:ascii="Arial" w:hAnsi="Arial"/>
                <w:b w:val="0"/>
                <w:sz w:val="16"/>
              </w:rPr>
              <w:t>POD documents</w:t>
            </w:r>
          </w:p>
        </w:tc>
        <w:tc>
          <w:tcPr>
            <w:tcW w:type="dxa" w:w="3360"/>
            <w:vAlign w:val="center"/>
          </w:tcPr>
          <w:p>
            <w:pPr>
              <w:spacing w:after="40"/>
            </w:pPr>
            <w:r/>
            <w:r>
              <w:rPr>
                <w:rFonts w:ascii="Arial" w:hAnsi="Arial"/>
                <w:b w:val="0"/>
                <w:sz w:val="16"/>
              </w:rPr>
              <w:t>Authorized users shall be able to upload, associate, retrieve, and view supported Proof of Delivery files for a delivery, subject to access permissions.</w:t>
            </w:r>
          </w:p>
        </w:tc>
      </w:tr>
      <w:tr>
        <w:tc>
          <w:tcPr>
            <w:tcW w:type="dxa" w:w="3360"/>
            <w:vAlign w:val="center"/>
          </w:tcPr>
          <w:p>
            <w:pPr>
              <w:spacing w:after="40"/>
            </w:pPr>
            <w:r/>
            <w:r>
              <w:rPr>
                <w:rFonts w:ascii="Arial" w:hAnsi="Arial"/>
                <w:b w:val="0"/>
                <w:sz w:val="16"/>
              </w:rPr>
              <w:t>REQ-012</w:t>
            </w:r>
          </w:p>
        </w:tc>
        <w:tc>
          <w:tcPr>
            <w:tcW w:type="dxa" w:w="3360"/>
            <w:vAlign w:val="center"/>
          </w:tcPr>
          <w:p>
            <w:pPr>
              <w:spacing w:after="40"/>
            </w:pPr>
            <w:r/>
            <w:r>
              <w:rPr>
                <w:rFonts w:ascii="Arial" w:hAnsi="Arial"/>
                <w:b w:val="0"/>
                <w:sz w:val="16"/>
              </w:rPr>
              <w:t>Company expenses</w:t>
            </w:r>
          </w:p>
        </w:tc>
        <w:tc>
          <w:tcPr>
            <w:tcW w:type="dxa" w:w="3360"/>
            <w:vAlign w:val="center"/>
          </w:tcPr>
          <w:p>
            <w:pPr>
              <w:spacing w:after="40"/>
            </w:pPr>
            <w:r/>
            <w:r>
              <w:rPr>
                <w:rFonts w:ascii="Arial" w:hAnsi="Arial"/>
                <w:b w:val="0"/>
                <w:sz w:val="16"/>
              </w:rPr>
              <w:t>Finance shall be able to record and maintain expenses not directly attributable to a specific delivery, including date, category, description, amount, and supporting attachment/notes where applicable.</w:t>
            </w:r>
          </w:p>
        </w:tc>
      </w:tr>
      <w:tr>
        <w:tc>
          <w:tcPr>
            <w:tcW w:type="dxa" w:w="3360"/>
            <w:vAlign w:val="center"/>
          </w:tcPr>
          <w:p>
            <w:pPr>
              <w:spacing w:after="40"/>
            </w:pPr>
            <w:r/>
            <w:r>
              <w:rPr>
                <w:rFonts w:ascii="Arial" w:hAnsi="Arial"/>
                <w:b w:val="0"/>
                <w:sz w:val="16"/>
              </w:rPr>
              <w:t>REQ-013</w:t>
            </w:r>
          </w:p>
        </w:tc>
        <w:tc>
          <w:tcPr>
            <w:tcW w:type="dxa" w:w="3360"/>
            <w:vAlign w:val="center"/>
          </w:tcPr>
          <w:p>
            <w:pPr>
              <w:spacing w:after="40"/>
            </w:pPr>
            <w:r/>
            <w:r>
              <w:rPr>
                <w:rFonts w:ascii="Arial" w:hAnsi="Arial"/>
                <w:b w:val="0"/>
                <w:sz w:val="16"/>
              </w:rPr>
              <w:t>Compensation summaries</w:t>
            </w:r>
          </w:p>
        </w:tc>
        <w:tc>
          <w:tcPr>
            <w:tcW w:type="dxa" w:w="3360"/>
            <w:vAlign w:val="center"/>
          </w:tcPr>
          <w:p>
            <w:pPr>
              <w:spacing w:after="40"/>
            </w:pPr>
            <w:r/>
            <w:r>
              <w:rPr>
                <w:rFonts w:ascii="Arial" w:hAnsi="Arial"/>
                <w:b w:val="0"/>
                <w:sz w:val="16"/>
              </w:rPr>
              <w:t>HR shall be able to record or summarize amounts payable to staff, drivers, and helpers for an approved period.</w:t>
            </w:r>
          </w:p>
        </w:tc>
      </w:tr>
      <w:tr>
        <w:tc>
          <w:tcPr>
            <w:tcW w:type="dxa" w:w="3360"/>
            <w:vAlign w:val="center"/>
          </w:tcPr>
          <w:p>
            <w:pPr>
              <w:spacing w:after="40"/>
            </w:pPr>
            <w:r/>
            <w:r>
              <w:rPr>
                <w:rFonts w:ascii="Arial" w:hAnsi="Arial"/>
                <w:b w:val="0"/>
                <w:sz w:val="16"/>
              </w:rPr>
              <w:t>REQ-014</w:t>
            </w:r>
          </w:p>
        </w:tc>
        <w:tc>
          <w:tcPr>
            <w:tcW w:type="dxa" w:w="3360"/>
            <w:vAlign w:val="center"/>
          </w:tcPr>
          <w:p>
            <w:pPr>
              <w:spacing w:after="40"/>
            </w:pPr>
            <w:r/>
            <w:r>
              <w:rPr>
                <w:rFonts w:ascii="Arial" w:hAnsi="Arial"/>
                <w:b w:val="0"/>
                <w:sz w:val="16"/>
              </w:rPr>
              <w:t>Global search</w:t>
            </w:r>
          </w:p>
        </w:tc>
        <w:tc>
          <w:tcPr>
            <w:tcW w:type="dxa" w:w="3360"/>
            <w:vAlign w:val="center"/>
          </w:tcPr>
          <w:p>
            <w:pPr>
              <w:spacing w:after="40"/>
            </w:pPr>
            <w:r/>
            <w:r>
              <w:rPr>
                <w:rFonts w:ascii="Arial" w:hAnsi="Arial"/>
                <w:b w:val="0"/>
                <w:sz w:val="16"/>
              </w:rPr>
              <w:t>Authorized users shall be able to search relevant delivery, truck, client, employee, and transaction records using identifiers and text such as plate number, delivery ID, driver, client, and date.</w:t>
            </w:r>
          </w:p>
        </w:tc>
      </w:tr>
      <w:tr>
        <w:tc>
          <w:tcPr>
            <w:tcW w:type="dxa" w:w="3360"/>
            <w:vAlign w:val="center"/>
          </w:tcPr>
          <w:p>
            <w:pPr>
              <w:spacing w:after="40"/>
            </w:pPr>
            <w:r/>
            <w:r>
              <w:rPr>
                <w:rFonts w:ascii="Arial" w:hAnsi="Arial"/>
                <w:b w:val="0"/>
                <w:sz w:val="16"/>
              </w:rPr>
              <w:t>REQ-015</w:t>
            </w:r>
          </w:p>
        </w:tc>
        <w:tc>
          <w:tcPr>
            <w:tcW w:type="dxa" w:w="3360"/>
            <w:vAlign w:val="center"/>
          </w:tcPr>
          <w:p>
            <w:pPr>
              <w:spacing w:after="40"/>
            </w:pPr>
            <w:r/>
            <w:r>
              <w:rPr>
                <w:rFonts w:ascii="Arial" w:hAnsi="Arial"/>
                <w:b w:val="0"/>
                <w:sz w:val="16"/>
              </w:rPr>
              <w:t>Date filters</w:t>
            </w:r>
          </w:p>
        </w:tc>
        <w:tc>
          <w:tcPr>
            <w:tcW w:type="dxa" w:w="3360"/>
            <w:vAlign w:val="center"/>
          </w:tcPr>
          <w:p>
            <w:pPr>
              <w:spacing w:after="40"/>
            </w:pPr>
            <w:r/>
            <w:r>
              <w:rPr>
                <w:rFonts w:ascii="Arial" w:hAnsi="Arial"/>
                <w:b w:val="0"/>
                <w:sz w:val="16"/>
              </w:rPr>
              <w:t>The system shall provide date-range filtering for relevant dashboards, truck profiles, delivery lists, and reports. The selected period shall be visible in results and exports.</w:t>
            </w:r>
          </w:p>
        </w:tc>
      </w:tr>
      <w:tr>
        <w:tc>
          <w:tcPr>
            <w:tcW w:type="dxa" w:w="3360"/>
            <w:vAlign w:val="center"/>
          </w:tcPr>
          <w:p>
            <w:pPr>
              <w:spacing w:after="40"/>
            </w:pPr>
            <w:r/>
            <w:r>
              <w:rPr>
                <w:rFonts w:ascii="Arial" w:hAnsi="Arial"/>
                <w:b w:val="0"/>
                <w:sz w:val="16"/>
              </w:rPr>
              <w:t>REQ-016</w:t>
            </w:r>
          </w:p>
        </w:tc>
        <w:tc>
          <w:tcPr>
            <w:tcW w:type="dxa" w:w="3360"/>
            <w:vAlign w:val="center"/>
          </w:tcPr>
          <w:p>
            <w:pPr>
              <w:spacing w:after="40"/>
            </w:pPr>
            <w:r/>
            <w:r>
              <w:rPr>
                <w:rFonts w:ascii="Arial" w:hAnsi="Arial"/>
                <w:b w:val="0"/>
                <w:sz w:val="16"/>
              </w:rPr>
              <w:t>Truck history</w:t>
            </w:r>
          </w:p>
        </w:tc>
        <w:tc>
          <w:tcPr>
            <w:tcW w:type="dxa" w:w="3360"/>
            <w:vAlign w:val="center"/>
          </w:tcPr>
          <w:p>
            <w:pPr>
              <w:spacing w:after="40"/>
            </w:pPr>
            <w:r/>
            <w:r>
              <w:rPr>
                <w:rFonts w:ascii="Arial" w:hAnsi="Arial"/>
                <w:b w:val="0"/>
                <w:sz w:val="16"/>
              </w:rPr>
              <w:t>The system shall provide a truck profile with delivery history and financial summaries for a selected period, subject to available recorded data.</w:t>
            </w:r>
          </w:p>
        </w:tc>
      </w:tr>
      <w:tr>
        <w:tc>
          <w:tcPr>
            <w:tcW w:type="dxa" w:w="3360"/>
            <w:vAlign w:val="center"/>
          </w:tcPr>
          <w:p>
            <w:pPr>
              <w:spacing w:after="40"/>
            </w:pPr>
            <w:r/>
            <w:r>
              <w:rPr>
                <w:rFonts w:ascii="Arial" w:hAnsi="Arial"/>
                <w:b w:val="0"/>
                <w:sz w:val="16"/>
              </w:rPr>
              <w:t>REQ-017</w:t>
            </w:r>
          </w:p>
        </w:tc>
        <w:tc>
          <w:tcPr>
            <w:tcW w:type="dxa" w:w="3360"/>
            <w:vAlign w:val="center"/>
          </w:tcPr>
          <w:p>
            <w:pPr>
              <w:spacing w:after="40"/>
            </w:pPr>
            <w:r/>
            <w:r>
              <w:rPr>
                <w:rFonts w:ascii="Arial" w:hAnsi="Arial"/>
                <w:b w:val="0"/>
                <w:sz w:val="16"/>
              </w:rPr>
              <w:t>Reports</w:t>
            </w:r>
          </w:p>
        </w:tc>
        <w:tc>
          <w:tcPr>
            <w:tcW w:type="dxa" w:w="3360"/>
            <w:vAlign w:val="center"/>
          </w:tcPr>
          <w:p>
            <w:pPr>
              <w:spacing w:after="40"/>
            </w:pPr>
            <w:r/>
            <w:r>
              <w:rPr>
                <w:rFonts w:ascii="Arial" w:hAnsi="Arial"/>
                <w:b w:val="0"/>
                <w:sz w:val="16"/>
              </w:rPr>
              <w:t>The system shall provide operational and financial reports covering delivery activity, revenue, expenses, POD records, and approved profitability metrics.</w:t>
            </w:r>
          </w:p>
        </w:tc>
      </w:tr>
      <w:tr>
        <w:tc>
          <w:tcPr>
            <w:tcW w:type="dxa" w:w="3360"/>
            <w:vAlign w:val="center"/>
          </w:tcPr>
          <w:p>
            <w:pPr>
              <w:spacing w:after="40"/>
            </w:pPr>
            <w:r/>
            <w:r>
              <w:rPr>
                <w:rFonts w:ascii="Arial" w:hAnsi="Arial"/>
                <w:b w:val="0"/>
                <w:sz w:val="16"/>
              </w:rPr>
              <w:t>REQ-018</w:t>
            </w:r>
          </w:p>
        </w:tc>
        <w:tc>
          <w:tcPr>
            <w:tcW w:type="dxa" w:w="3360"/>
            <w:vAlign w:val="center"/>
          </w:tcPr>
          <w:p>
            <w:pPr>
              <w:spacing w:after="40"/>
            </w:pPr>
            <w:r/>
            <w:r>
              <w:rPr>
                <w:rFonts w:ascii="Arial" w:hAnsi="Arial"/>
                <w:b w:val="0"/>
                <w:sz w:val="16"/>
              </w:rPr>
              <w:t>Company-level review</w:t>
            </w:r>
          </w:p>
        </w:tc>
        <w:tc>
          <w:tcPr>
            <w:tcW w:type="dxa" w:w="3360"/>
            <w:vAlign w:val="center"/>
          </w:tcPr>
          <w:p>
            <w:pPr>
              <w:spacing w:after="40"/>
            </w:pPr>
            <w:r/>
            <w:r>
              <w:rPr>
                <w:rFonts w:ascii="Arial" w:hAnsi="Arial"/>
                <w:b w:val="0"/>
                <w:sz w:val="16"/>
              </w:rPr>
              <w:t>The system shall provide a company-level summary that separately accounts for delivery results, HR compensation summaries, and non-delivery operating expenses according to the approved financial model.</w:t>
            </w:r>
          </w:p>
        </w:tc>
      </w:tr>
      <w:tr>
        <w:tc>
          <w:tcPr>
            <w:tcW w:type="dxa" w:w="3360"/>
            <w:vAlign w:val="center"/>
          </w:tcPr>
          <w:p>
            <w:pPr>
              <w:spacing w:after="40"/>
            </w:pPr>
            <w:r/>
            <w:r>
              <w:rPr>
                <w:rFonts w:ascii="Arial" w:hAnsi="Arial"/>
                <w:b w:val="0"/>
                <w:sz w:val="16"/>
              </w:rPr>
              <w:t>REQ-019</w:t>
            </w:r>
          </w:p>
        </w:tc>
        <w:tc>
          <w:tcPr>
            <w:tcW w:type="dxa" w:w="3360"/>
            <w:vAlign w:val="center"/>
          </w:tcPr>
          <w:p>
            <w:pPr>
              <w:spacing w:after="40"/>
            </w:pPr>
            <w:r/>
            <w:r>
              <w:rPr>
                <w:rFonts w:ascii="Arial" w:hAnsi="Arial"/>
                <w:b w:val="0"/>
                <w:sz w:val="16"/>
              </w:rPr>
              <w:t>Export and print</w:t>
            </w:r>
          </w:p>
        </w:tc>
        <w:tc>
          <w:tcPr>
            <w:tcW w:type="dxa" w:w="3360"/>
            <w:vAlign w:val="center"/>
          </w:tcPr>
          <w:p>
            <w:pPr>
              <w:spacing w:after="40"/>
            </w:pPr>
            <w:r/>
            <w:r>
              <w:rPr>
                <w:rFonts w:ascii="Arial" w:hAnsi="Arial"/>
                <w:b w:val="0"/>
                <w:sz w:val="16"/>
              </w:rPr>
              <w:t>Authorized users shall be able to export or print supported reports with the selected filters and reporting period shown.</w:t>
            </w:r>
          </w:p>
        </w:tc>
      </w:tr>
      <w:tr>
        <w:tc>
          <w:tcPr>
            <w:tcW w:type="dxa" w:w="3360"/>
            <w:vAlign w:val="center"/>
          </w:tcPr>
          <w:p>
            <w:pPr>
              <w:spacing w:after="40"/>
            </w:pPr>
            <w:r/>
            <w:r>
              <w:rPr>
                <w:rFonts w:ascii="Arial" w:hAnsi="Arial"/>
                <w:b w:val="0"/>
                <w:sz w:val="16"/>
              </w:rPr>
              <w:t>REQ-020</w:t>
            </w:r>
          </w:p>
        </w:tc>
        <w:tc>
          <w:tcPr>
            <w:tcW w:type="dxa" w:w="3360"/>
            <w:vAlign w:val="center"/>
          </w:tcPr>
          <w:p>
            <w:pPr>
              <w:spacing w:after="40"/>
            </w:pPr>
            <w:r/>
            <w:r>
              <w:rPr>
                <w:rFonts w:ascii="Arial" w:hAnsi="Arial"/>
                <w:b w:val="0"/>
                <w:sz w:val="16"/>
              </w:rPr>
              <w:t>Activity logs</w:t>
            </w:r>
          </w:p>
        </w:tc>
        <w:tc>
          <w:tcPr>
            <w:tcW w:type="dxa" w:w="3360"/>
            <w:vAlign w:val="center"/>
          </w:tcPr>
          <w:p>
            <w:pPr>
              <w:spacing w:after="40"/>
            </w:pPr>
            <w:r/>
            <w:r>
              <w:rPr>
                <w:rFonts w:ascii="Arial" w:hAnsi="Arial"/>
                <w:b w:val="0"/>
                <w:sz w:val="16"/>
              </w:rPr>
              <w:t>The system shall record relevant user actions such as login, record creation, modification, and document upload.</w:t>
            </w:r>
          </w:p>
        </w:tc>
      </w:tr>
      <w:tr>
        <w:tc>
          <w:tcPr>
            <w:tcW w:type="dxa" w:w="3360"/>
            <w:vAlign w:val="center"/>
          </w:tcPr>
          <w:p>
            <w:pPr>
              <w:spacing w:after="40"/>
            </w:pPr>
            <w:r/>
            <w:r>
              <w:rPr>
                <w:rFonts w:ascii="Arial" w:hAnsi="Arial"/>
                <w:b w:val="0"/>
                <w:sz w:val="16"/>
              </w:rPr>
              <w:t>REQ-021</w:t>
            </w:r>
          </w:p>
        </w:tc>
        <w:tc>
          <w:tcPr>
            <w:tcW w:type="dxa" w:w="3360"/>
            <w:vAlign w:val="center"/>
          </w:tcPr>
          <w:p>
            <w:pPr>
              <w:spacing w:after="40"/>
            </w:pPr>
            <w:r/>
            <w:r>
              <w:rPr>
                <w:rFonts w:ascii="Arial" w:hAnsi="Arial"/>
                <w:b w:val="0"/>
                <w:sz w:val="16"/>
              </w:rPr>
              <w:t>Audit trail</w:t>
            </w:r>
          </w:p>
        </w:tc>
        <w:tc>
          <w:tcPr>
            <w:tcW w:type="dxa" w:w="3360"/>
            <w:vAlign w:val="center"/>
          </w:tcPr>
          <w:p>
            <w:pPr>
              <w:spacing w:after="40"/>
            </w:pPr>
            <w:r/>
            <w:r>
              <w:rPr>
                <w:rFonts w:ascii="Arial" w:hAnsi="Arial"/>
                <w:b w:val="0"/>
                <w:sz w:val="16"/>
              </w:rPr>
              <w:t>The system should preserve before/after values for important operational and financial record changes where technically supported and approved.</w:t>
            </w:r>
          </w:p>
        </w:tc>
      </w:tr>
      <w:tr>
        <w:tc>
          <w:tcPr>
            <w:tcW w:type="dxa" w:w="3360"/>
            <w:vAlign w:val="center"/>
          </w:tcPr>
          <w:p>
            <w:pPr>
              <w:spacing w:after="40"/>
            </w:pPr>
            <w:r/>
            <w:r>
              <w:rPr>
                <w:rFonts w:ascii="Arial" w:hAnsi="Arial"/>
                <w:b w:val="0"/>
                <w:sz w:val="16"/>
              </w:rPr>
              <w:t>REQ-022</w:t>
            </w:r>
          </w:p>
        </w:tc>
        <w:tc>
          <w:tcPr>
            <w:tcW w:type="dxa" w:w="3360"/>
            <w:vAlign w:val="center"/>
          </w:tcPr>
          <w:p>
            <w:pPr>
              <w:spacing w:after="40"/>
            </w:pPr>
            <w:r/>
            <w:r>
              <w:rPr>
                <w:rFonts w:ascii="Arial" w:hAnsi="Arial"/>
                <w:b w:val="0"/>
                <w:sz w:val="16"/>
              </w:rPr>
              <w:t>User administration</w:t>
            </w:r>
          </w:p>
        </w:tc>
        <w:tc>
          <w:tcPr>
            <w:tcW w:type="dxa" w:w="3360"/>
            <w:vAlign w:val="center"/>
          </w:tcPr>
          <w:p>
            <w:pPr>
              <w:spacing w:after="40"/>
            </w:pPr>
            <w:r/>
            <w:r>
              <w:rPr>
                <w:rFonts w:ascii="Arial" w:hAnsi="Arial"/>
                <w:b w:val="0"/>
                <w:sz w:val="16"/>
              </w:rPr>
              <w:t>Authorized administrators shall be able to manage user accounts and assign only approved roles.</w:t>
            </w:r>
          </w:p>
        </w:tc>
      </w:tr>
      <w:tr>
        <w:tc>
          <w:tcPr>
            <w:tcW w:type="dxa" w:w="3360"/>
            <w:vAlign w:val="center"/>
          </w:tcPr>
          <w:p>
            <w:pPr>
              <w:spacing w:after="40"/>
            </w:pPr>
            <w:r/>
            <w:r>
              <w:rPr>
                <w:rFonts w:ascii="Arial" w:hAnsi="Arial"/>
                <w:b w:val="0"/>
                <w:sz w:val="16"/>
              </w:rPr>
              <w:t>REQ-023</w:t>
            </w:r>
          </w:p>
        </w:tc>
        <w:tc>
          <w:tcPr>
            <w:tcW w:type="dxa" w:w="3360"/>
            <w:vAlign w:val="center"/>
          </w:tcPr>
          <w:p>
            <w:pPr>
              <w:spacing w:after="40"/>
            </w:pPr>
            <w:r/>
            <w:r>
              <w:rPr>
                <w:rFonts w:ascii="Arial" w:hAnsi="Arial"/>
                <w:b w:val="0"/>
                <w:sz w:val="16"/>
              </w:rPr>
              <w:t>Empty states</w:t>
            </w:r>
          </w:p>
        </w:tc>
        <w:tc>
          <w:tcPr>
            <w:tcW w:type="dxa" w:w="3360"/>
            <w:vAlign w:val="center"/>
          </w:tcPr>
          <w:p>
            <w:pPr>
              <w:spacing w:after="40"/>
            </w:pPr>
            <w:r/>
            <w:r>
              <w:rPr>
                <w:rFonts w:ascii="Arial" w:hAnsi="Arial"/>
                <w:b w:val="0"/>
                <w:sz w:val="16"/>
              </w:rPr>
              <w:t>When no records match a selected period or filter, the system shall clearly state that no records were found and shall not imply that the truck or business had no activity outside the selected period.</w:t>
            </w:r>
          </w:p>
        </w:tc>
      </w:tr>
      <w:tr>
        <w:tc>
          <w:tcPr>
            <w:tcW w:type="dxa" w:w="3360"/>
            <w:vAlign w:val="center"/>
          </w:tcPr>
          <w:p>
            <w:pPr>
              <w:spacing w:after="40"/>
            </w:pPr>
            <w:r/>
            <w:r>
              <w:rPr>
                <w:rFonts w:ascii="Arial" w:hAnsi="Arial"/>
                <w:b w:val="0"/>
                <w:sz w:val="16"/>
              </w:rPr>
              <w:t>REQ-024</w:t>
            </w:r>
          </w:p>
        </w:tc>
        <w:tc>
          <w:tcPr>
            <w:tcW w:type="dxa" w:w="3360"/>
            <w:vAlign w:val="center"/>
          </w:tcPr>
          <w:p>
            <w:pPr>
              <w:spacing w:after="40"/>
            </w:pPr>
            <w:r/>
            <w:r>
              <w:rPr>
                <w:rFonts w:ascii="Arial" w:hAnsi="Arial"/>
                <w:b w:val="0"/>
                <w:sz w:val="16"/>
              </w:rPr>
              <w:t>Data validation</w:t>
            </w:r>
          </w:p>
        </w:tc>
        <w:tc>
          <w:tcPr>
            <w:tcW w:type="dxa" w:w="3360"/>
            <w:vAlign w:val="center"/>
          </w:tcPr>
          <w:p>
            <w:pPr>
              <w:spacing w:after="40"/>
            </w:pPr>
            <w:r/>
            <w:r>
              <w:rPr>
                <w:rFonts w:ascii="Arial" w:hAnsi="Arial"/>
                <w:b w:val="0"/>
                <w:sz w:val="16"/>
              </w:rPr>
              <w:t>The system shall validate required fields, date/time formats, numeric values, valid relationships, supported file types, and file-size limits before accepting data.</w:t>
            </w:r>
          </w:p>
        </w:tc>
      </w:tr>
      <w:tr>
        <w:tc>
          <w:tcPr>
            <w:tcW w:type="dxa" w:w="3360"/>
            <w:vAlign w:val="center"/>
          </w:tcPr>
          <w:p>
            <w:pPr>
              <w:spacing w:after="40"/>
            </w:pPr>
            <w:r/>
            <w:r>
              <w:rPr>
                <w:rFonts w:ascii="Arial" w:hAnsi="Arial"/>
                <w:b w:val="0"/>
                <w:sz w:val="16"/>
              </w:rPr>
              <w:t>REQ-025</w:t>
            </w:r>
          </w:p>
        </w:tc>
        <w:tc>
          <w:tcPr>
            <w:tcW w:type="dxa" w:w="3360"/>
            <w:vAlign w:val="center"/>
          </w:tcPr>
          <w:p>
            <w:pPr>
              <w:spacing w:after="40"/>
            </w:pPr>
            <w:r/>
            <w:r>
              <w:rPr>
                <w:rFonts w:ascii="Arial" w:hAnsi="Arial"/>
                <w:b w:val="0"/>
                <w:sz w:val="16"/>
              </w:rPr>
              <w:t>Historical values</w:t>
            </w:r>
          </w:p>
        </w:tc>
        <w:tc>
          <w:tcPr>
            <w:tcW w:type="dxa" w:w="3360"/>
            <w:vAlign w:val="center"/>
          </w:tcPr>
          <w:p>
            <w:pPr>
              <w:spacing w:after="40"/>
            </w:pPr>
            <w:r/>
            <w:r>
              <w:rPr>
                <w:rFonts w:ascii="Arial" w:hAnsi="Arial"/>
                <w:b w:val="0"/>
                <w:sz w:val="16"/>
              </w:rPr>
              <w:t>Changes to current rates or reference data shall not silently rewrite historical delivery financial values.</w:t>
            </w:r>
          </w:p>
        </w:tc>
      </w:tr>
    </w:tbl>
    <w:p/>
    <w:p>
      <w:pPr>
        <w:pStyle w:val="Heading1"/>
      </w:pPr>
      <w:r>
        <w:t>3.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7F0"/>
          </w:tcPr>
          <w:p>
            <w:pPr>
              <w:spacing w:after="40"/>
            </w:pPr>
            <w:r/>
            <w:r>
              <w:rPr>
                <w:rFonts w:ascii="Arial" w:hAnsi="Arial"/>
                <w:b/>
                <w:sz w:val="18"/>
              </w:rPr>
              <w:t>ID</w:t>
            </w:r>
          </w:p>
        </w:tc>
        <w:tc>
          <w:tcPr>
            <w:tcW w:type="dxa" w:w="3360"/>
            <w:vAlign w:val="center"/>
            <w:shd w:fill="D9E7F0"/>
          </w:tcPr>
          <w:p>
            <w:pPr>
              <w:spacing w:after="40"/>
            </w:pPr>
            <w:r/>
            <w:r>
              <w:rPr>
                <w:rFonts w:ascii="Arial" w:hAnsi="Arial"/>
                <w:b/>
                <w:sz w:val="18"/>
              </w:rPr>
              <w:t>Quality area</w:t>
            </w:r>
          </w:p>
        </w:tc>
        <w:tc>
          <w:tcPr>
            <w:tcW w:type="dxa" w:w="3360"/>
            <w:vAlign w:val="center"/>
            <w:shd w:fill="D9E7F0"/>
          </w:tcPr>
          <w:p>
            <w:pPr>
              <w:spacing w:after="40"/>
            </w:pPr>
            <w:r/>
            <w:r>
              <w:rPr>
                <w:rFonts w:ascii="Arial" w:hAnsi="Arial"/>
                <w:b/>
                <w:sz w:val="18"/>
              </w:rPr>
              <w:t>Requirement</w:t>
            </w:r>
          </w:p>
        </w:tc>
      </w:tr>
      <w:tr>
        <w:tc>
          <w:tcPr>
            <w:tcW w:type="dxa" w:w="3360"/>
            <w:vAlign w:val="center"/>
          </w:tcPr>
          <w:p>
            <w:pPr>
              <w:spacing w:after="40"/>
            </w:pPr>
            <w:r/>
            <w:r>
              <w:rPr>
                <w:rFonts w:ascii="Arial" w:hAnsi="Arial"/>
                <w:b w:val="0"/>
                <w:sz w:val="16"/>
              </w:rPr>
              <w:t>NFR-001</w:t>
            </w:r>
          </w:p>
        </w:tc>
        <w:tc>
          <w:tcPr>
            <w:tcW w:type="dxa" w:w="3360"/>
            <w:vAlign w:val="center"/>
          </w:tcPr>
          <w:p>
            <w:pPr>
              <w:spacing w:after="40"/>
            </w:pPr>
            <w:r/>
            <w:r>
              <w:rPr>
                <w:rFonts w:ascii="Arial" w:hAnsi="Arial"/>
                <w:b w:val="0"/>
                <w:sz w:val="16"/>
              </w:rPr>
              <w:t>Security</w:t>
            </w:r>
          </w:p>
        </w:tc>
        <w:tc>
          <w:tcPr>
            <w:tcW w:type="dxa" w:w="3360"/>
            <w:vAlign w:val="center"/>
          </w:tcPr>
          <w:p>
            <w:pPr>
              <w:spacing w:after="40"/>
            </w:pPr>
            <w:r/>
            <w:r>
              <w:rPr>
                <w:rFonts w:ascii="Arial" w:hAnsi="Arial"/>
                <w:b w:val="0"/>
                <w:sz w:val="16"/>
              </w:rPr>
              <w:t>Passwords and authentication secrets shall be handled using secure mechanisms; sensitive configuration values shall not be exposed to the browser.</w:t>
            </w:r>
          </w:p>
        </w:tc>
      </w:tr>
      <w:tr>
        <w:tc>
          <w:tcPr>
            <w:tcW w:type="dxa" w:w="3360"/>
            <w:vAlign w:val="center"/>
          </w:tcPr>
          <w:p>
            <w:pPr>
              <w:spacing w:after="40"/>
            </w:pPr>
            <w:r/>
            <w:r>
              <w:rPr>
                <w:rFonts w:ascii="Arial" w:hAnsi="Arial"/>
                <w:b w:val="0"/>
                <w:sz w:val="16"/>
              </w:rPr>
              <w:t>NFR-002</w:t>
            </w:r>
          </w:p>
        </w:tc>
        <w:tc>
          <w:tcPr>
            <w:tcW w:type="dxa" w:w="3360"/>
            <w:vAlign w:val="center"/>
          </w:tcPr>
          <w:p>
            <w:pPr>
              <w:spacing w:after="40"/>
            </w:pPr>
            <w:r/>
            <w:r>
              <w:rPr>
                <w:rFonts w:ascii="Arial" w:hAnsi="Arial"/>
                <w:b w:val="0"/>
                <w:sz w:val="16"/>
              </w:rPr>
              <w:t>Transport security</w:t>
            </w:r>
          </w:p>
        </w:tc>
        <w:tc>
          <w:tcPr>
            <w:tcW w:type="dxa" w:w="3360"/>
            <w:vAlign w:val="center"/>
          </w:tcPr>
          <w:p>
            <w:pPr>
              <w:spacing w:after="40"/>
            </w:pPr>
            <w:r/>
            <w:r>
              <w:rPr>
                <w:rFonts w:ascii="Arial" w:hAnsi="Arial"/>
                <w:b w:val="0"/>
                <w:sz w:val="16"/>
              </w:rPr>
              <w:t>Production traffic shall use HTTPS/TLS.</w:t>
            </w:r>
          </w:p>
        </w:tc>
      </w:tr>
      <w:tr>
        <w:tc>
          <w:tcPr>
            <w:tcW w:type="dxa" w:w="3360"/>
            <w:vAlign w:val="center"/>
          </w:tcPr>
          <w:p>
            <w:pPr>
              <w:spacing w:after="40"/>
            </w:pPr>
            <w:r/>
            <w:r>
              <w:rPr>
                <w:rFonts w:ascii="Arial" w:hAnsi="Arial"/>
                <w:b w:val="0"/>
                <w:sz w:val="16"/>
              </w:rPr>
              <w:t>NFR-003</w:t>
            </w:r>
          </w:p>
        </w:tc>
        <w:tc>
          <w:tcPr>
            <w:tcW w:type="dxa" w:w="3360"/>
            <w:vAlign w:val="center"/>
          </w:tcPr>
          <w:p>
            <w:pPr>
              <w:spacing w:after="40"/>
            </w:pPr>
            <w:r/>
            <w:r>
              <w:rPr>
                <w:rFonts w:ascii="Arial" w:hAnsi="Arial"/>
                <w:b w:val="0"/>
                <w:sz w:val="16"/>
              </w:rPr>
              <w:t>Privacy</w:t>
            </w:r>
          </w:p>
        </w:tc>
        <w:tc>
          <w:tcPr>
            <w:tcW w:type="dxa" w:w="3360"/>
            <w:vAlign w:val="center"/>
          </w:tcPr>
          <w:p>
            <w:pPr>
              <w:spacing w:after="40"/>
            </w:pPr>
            <w:r/>
            <w:r>
              <w:rPr>
                <w:rFonts w:ascii="Arial" w:hAnsi="Arial"/>
                <w:b w:val="0"/>
                <w:sz w:val="16"/>
              </w:rPr>
              <w:t>Personal and business records shall be accessible only for authorized operational purposes and handled consistently with applicable Philippine data protection requirements.</w:t>
            </w:r>
          </w:p>
        </w:tc>
      </w:tr>
      <w:tr>
        <w:tc>
          <w:tcPr>
            <w:tcW w:type="dxa" w:w="3360"/>
            <w:vAlign w:val="center"/>
          </w:tcPr>
          <w:p>
            <w:pPr>
              <w:spacing w:after="40"/>
            </w:pPr>
            <w:r/>
            <w:r>
              <w:rPr>
                <w:rFonts w:ascii="Arial" w:hAnsi="Arial"/>
                <w:b w:val="0"/>
                <w:sz w:val="16"/>
              </w:rPr>
              <w:t>NFR-004</w:t>
            </w:r>
          </w:p>
        </w:tc>
        <w:tc>
          <w:tcPr>
            <w:tcW w:type="dxa" w:w="3360"/>
            <w:vAlign w:val="center"/>
          </w:tcPr>
          <w:p>
            <w:pPr>
              <w:spacing w:after="40"/>
            </w:pPr>
            <w:r/>
            <w:r>
              <w:rPr>
                <w:rFonts w:ascii="Arial" w:hAnsi="Arial"/>
                <w:b w:val="0"/>
                <w:sz w:val="16"/>
              </w:rPr>
              <w:t>Data integrity</w:t>
            </w:r>
          </w:p>
        </w:tc>
        <w:tc>
          <w:tcPr>
            <w:tcW w:type="dxa" w:w="3360"/>
            <w:vAlign w:val="center"/>
          </w:tcPr>
          <w:p>
            <w:pPr>
              <w:spacing w:after="40"/>
            </w:pPr>
            <w:r/>
            <w:r>
              <w:rPr>
                <w:rFonts w:ascii="Arial" w:hAnsi="Arial"/>
                <w:b w:val="0"/>
                <w:sz w:val="16"/>
              </w:rPr>
              <w:t>Money shall use exact decimal or integer-minor-unit storage, not floating-point types. Derived totals shall be calculated consistently.</w:t>
            </w:r>
          </w:p>
        </w:tc>
      </w:tr>
      <w:tr>
        <w:tc>
          <w:tcPr>
            <w:tcW w:type="dxa" w:w="3360"/>
            <w:vAlign w:val="center"/>
          </w:tcPr>
          <w:p>
            <w:pPr>
              <w:spacing w:after="40"/>
            </w:pPr>
            <w:r/>
            <w:r>
              <w:rPr>
                <w:rFonts w:ascii="Arial" w:hAnsi="Arial"/>
                <w:b w:val="0"/>
                <w:sz w:val="16"/>
              </w:rPr>
              <w:t>NFR-005</w:t>
            </w:r>
          </w:p>
        </w:tc>
        <w:tc>
          <w:tcPr>
            <w:tcW w:type="dxa" w:w="3360"/>
            <w:vAlign w:val="center"/>
          </w:tcPr>
          <w:p>
            <w:pPr>
              <w:spacing w:after="40"/>
            </w:pPr>
            <w:r/>
            <w:r>
              <w:rPr>
                <w:rFonts w:ascii="Arial" w:hAnsi="Arial"/>
                <w:b w:val="0"/>
                <w:sz w:val="16"/>
              </w:rPr>
              <w:t>Reliability</w:t>
            </w:r>
          </w:p>
        </w:tc>
        <w:tc>
          <w:tcPr>
            <w:tcW w:type="dxa" w:w="3360"/>
            <w:vAlign w:val="center"/>
          </w:tcPr>
          <w:p>
            <w:pPr>
              <w:spacing w:after="40"/>
            </w:pPr>
            <w:r/>
            <w:r>
              <w:rPr>
                <w:rFonts w:ascii="Arial" w:hAnsi="Arial"/>
                <w:b w:val="0"/>
                <w:sz w:val="16"/>
              </w:rPr>
              <w:t>Database and file-storage backup and recovery arrangements shall be defined before production use; schedule and retention are TBD.</w:t>
            </w:r>
          </w:p>
        </w:tc>
      </w:tr>
      <w:tr>
        <w:tc>
          <w:tcPr>
            <w:tcW w:type="dxa" w:w="3360"/>
            <w:vAlign w:val="center"/>
          </w:tcPr>
          <w:p>
            <w:pPr>
              <w:spacing w:after="40"/>
            </w:pPr>
            <w:r/>
            <w:r>
              <w:rPr>
                <w:rFonts w:ascii="Arial" w:hAnsi="Arial"/>
                <w:b w:val="0"/>
                <w:sz w:val="16"/>
              </w:rPr>
              <w:t>NFR-006</w:t>
            </w:r>
          </w:p>
        </w:tc>
        <w:tc>
          <w:tcPr>
            <w:tcW w:type="dxa" w:w="3360"/>
            <w:vAlign w:val="center"/>
          </w:tcPr>
          <w:p>
            <w:pPr>
              <w:spacing w:after="40"/>
            </w:pPr>
            <w:r/>
            <w:r>
              <w:rPr>
                <w:rFonts w:ascii="Arial" w:hAnsi="Arial"/>
                <w:b w:val="0"/>
                <w:sz w:val="16"/>
              </w:rPr>
              <w:t>Usability</w:t>
            </w:r>
          </w:p>
        </w:tc>
        <w:tc>
          <w:tcPr>
            <w:tcW w:type="dxa" w:w="3360"/>
            <w:vAlign w:val="center"/>
          </w:tcPr>
          <w:p>
            <w:pPr>
              <w:spacing w:after="40"/>
            </w:pPr>
            <w:r/>
            <w:r>
              <w:rPr>
                <w:rFonts w:ascii="Arial" w:hAnsi="Arial"/>
                <w:b w:val="0"/>
                <w:sz w:val="16"/>
              </w:rPr>
              <w:t>The interface shall prioritize searchable tables, consistent filters, clear labels, useful empty states, and compact workflows for internal users.</w:t>
            </w:r>
          </w:p>
        </w:tc>
      </w:tr>
      <w:tr>
        <w:tc>
          <w:tcPr>
            <w:tcW w:type="dxa" w:w="3360"/>
            <w:vAlign w:val="center"/>
          </w:tcPr>
          <w:p>
            <w:pPr>
              <w:spacing w:after="40"/>
            </w:pPr>
            <w:r/>
            <w:r>
              <w:rPr>
                <w:rFonts w:ascii="Arial" w:hAnsi="Arial"/>
                <w:b w:val="0"/>
                <w:sz w:val="16"/>
              </w:rPr>
              <w:t>NFR-007</w:t>
            </w:r>
          </w:p>
        </w:tc>
        <w:tc>
          <w:tcPr>
            <w:tcW w:type="dxa" w:w="3360"/>
            <w:vAlign w:val="center"/>
          </w:tcPr>
          <w:p>
            <w:pPr>
              <w:spacing w:after="40"/>
            </w:pPr>
            <w:r/>
            <w:r>
              <w:rPr>
                <w:rFonts w:ascii="Arial" w:hAnsi="Arial"/>
                <w:b w:val="0"/>
                <w:sz w:val="16"/>
              </w:rPr>
              <w:t>Compatibility</w:t>
            </w:r>
          </w:p>
        </w:tc>
        <w:tc>
          <w:tcPr>
            <w:tcW w:type="dxa" w:w="3360"/>
            <w:vAlign w:val="center"/>
          </w:tcPr>
          <w:p>
            <w:pPr>
              <w:spacing w:after="40"/>
            </w:pPr>
            <w:r/>
            <w:r>
              <w:rPr>
                <w:rFonts w:ascii="Arial" w:hAnsi="Arial"/>
                <w:b w:val="0"/>
                <w:sz w:val="16"/>
              </w:rPr>
              <w:t>The system shall be usable in modern desktop web browsers; minimum supported browsers and mobile requirements are TBD.</w:t>
            </w:r>
          </w:p>
        </w:tc>
      </w:tr>
      <w:tr>
        <w:tc>
          <w:tcPr>
            <w:tcW w:type="dxa" w:w="3360"/>
            <w:vAlign w:val="center"/>
          </w:tcPr>
          <w:p>
            <w:pPr>
              <w:spacing w:after="40"/>
            </w:pPr>
            <w:r/>
            <w:r>
              <w:rPr>
                <w:rFonts w:ascii="Arial" w:hAnsi="Arial"/>
                <w:b w:val="0"/>
                <w:sz w:val="16"/>
              </w:rPr>
              <w:t>NFR-008</w:t>
            </w:r>
          </w:p>
        </w:tc>
        <w:tc>
          <w:tcPr>
            <w:tcW w:type="dxa" w:w="3360"/>
            <w:vAlign w:val="center"/>
          </w:tcPr>
          <w:p>
            <w:pPr>
              <w:spacing w:after="40"/>
            </w:pPr>
            <w:r/>
            <w:r>
              <w:rPr>
                <w:rFonts w:ascii="Arial" w:hAnsi="Arial"/>
                <w:b w:val="0"/>
                <w:sz w:val="16"/>
              </w:rPr>
              <w:t>Maintainability</w:t>
            </w:r>
          </w:p>
        </w:tc>
        <w:tc>
          <w:tcPr>
            <w:tcW w:type="dxa" w:w="3360"/>
            <w:vAlign w:val="center"/>
          </w:tcPr>
          <w:p>
            <w:pPr>
              <w:spacing w:after="40"/>
            </w:pPr>
            <w:r/>
            <w:r>
              <w:rPr>
                <w:rFonts w:ascii="Arial" w:hAnsi="Arial"/>
                <w:b w:val="0"/>
                <w:sz w:val="16"/>
              </w:rPr>
              <w:t>The system shall use a single Next.js application with TypeScript, reusable UI components, documented environment configuration, and validation on server mutations.</w:t>
            </w:r>
          </w:p>
        </w:tc>
      </w:tr>
      <w:tr>
        <w:tc>
          <w:tcPr>
            <w:tcW w:type="dxa" w:w="3360"/>
            <w:vAlign w:val="center"/>
          </w:tcPr>
          <w:p>
            <w:pPr>
              <w:spacing w:after="40"/>
            </w:pPr>
            <w:r/>
            <w:r>
              <w:rPr>
                <w:rFonts w:ascii="Arial" w:hAnsi="Arial"/>
                <w:b w:val="0"/>
                <w:sz w:val="16"/>
              </w:rPr>
              <w:t>NFR-009</w:t>
            </w:r>
          </w:p>
        </w:tc>
        <w:tc>
          <w:tcPr>
            <w:tcW w:type="dxa" w:w="3360"/>
            <w:vAlign w:val="center"/>
          </w:tcPr>
          <w:p>
            <w:pPr>
              <w:spacing w:after="40"/>
            </w:pPr>
            <w:r/>
            <w:r>
              <w:rPr>
                <w:rFonts w:ascii="Arial" w:hAnsi="Arial"/>
                <w:b w:val="0"/>
                <w:sz w:val="16"/>
              </w:rPr>
              <w:t>Auditability</w:t>
            </w:r>
          </w:p>
        </w:tc>
        <w:tc>
          <w:tcPr>
            <w:tcW w:type="dxa" w:w="3360"/>
            <w:vAlign w:val="center"/>
          </w:tcPr>
          <w:p>
            <w:pPr>
              <w:spacing w:after="40"/>
            </w:pPr>
            <w:r/>
            <w:r>
              <w:rPr>
                <w:rFonts w:ascii="Arial" w:hAnsi="Arial"/>
                <w:b w:val="0"/>
                <w:sz w:val="16"/>
              </w:rPr>
              <w:t>Important changes to operational and financial records shall be traceable to an authenticated user and timestamp.</w:t>
            </w:r>
          </w:p>
        </w:tc>
      </w:tr>
      <w:tr>
        <w:tc>
          <w:tcPr>
            <w:tcW w:type="dxa" w:w="3360"/>
            <w:vAlign w:val="center"/>
          </w:tcPr>
          <w:p>
            <w:pPr>
              <w:spacing w:after="40"/>
            </w:pPr>
            <w:r/>
            <w:r>
              <w:rPr>
                <w:rFonts w:ascii="Arial" w:hAnsi="Arial"/>
                <w:b w:val="0"/>
                <w:sz w:val="16"/>
              </w:rPr>
              <w:t>NFR-010</w:t>
            </w:r>
          </w:p>
        </w:tc>
        <w:tc>
          <w:tcPr>
            <w:tcW w:type="dxa" w:w="3360"/>
            <w:vAlign w:val="center"/>
          </w:tcPr>
          <w:p>
            <w:pPr>
              <w:spacing w:after="40"/>
            </w:pPr>
            <w:r/>
            <w:r>
              <w:rPr>
                <w:rFonts w:ascii="Arial" w:hAnsi="Arial"/>
                <w:b w:val="0"/>
                <w:sz w:val="16"/>
              </w:rPr>
              <w:t>Performance</w:t>
            </w:r>
          </w:p>
        </w:tc>
        <w:tc>
          <w:tcPr>
            <w:tcW w:type="dxa" w:w="3360"/>
            <w:vAlign w:val="center"/>
          </w:tcPr>
          <w:p>
            <w:pPr>
              <w:spacing w:after="40"/>
            </w:pPr>
            <w:r/>
            <w:r>
              <w:rPr>
                <w:rFonts w:ascii="Arial" w:hAnsi="Arial"/>
                <w:b w:val="0"/>
                <w:sz w:val="16"/>
              </w:rPr>
              <w:t>Search, common record views, and report generation should return results within targets to be agreed after expected data volume and deployment constraints are known.</w:t>
            </w:r>
          </w:p>
        </w:tc>
      </w:tr>
    </w:tbl>
    <w:p/>
    <w:p>
      <w:pPr>
        <w:pStyle w:val="Heading1"/>
      </w:pPr>
      <w:r>
        <w:t>4. Data Requirements and Validation</w:t>
      </w:r>
    </w:p>
    <w:p>
      <w:pPr>
        <w:pStyle w:val="ListBullet"/>
      </w:pPr>
      <w:r>
        <w:t>Delivery IDs and truck plate numbers shall be unique according to an agreed uniqueness rule.</w:t>
      </w:r>
    </w:p>
    <w:p>
      <w:pPr>
        <w:pStyle w:val="ListBullet"/>
      </w:pPr>
      <w:r>
        <w:t>Delivery records shall reference valid truck, client, and crew records; required fields must be confirmed by the client.</w:t>
      </w:r>
    </w:p>
    <w:p>
      <w:pPr>
        <w:pStyle w:val="ListBullet"/>
      </w:pPr>
      <w:r>
        <w:t>Amounts shall be numeric. Negative values, refunds, credits, adjustments, or reversals require an explicit business rule rather than a blanket assumption.</w:t>
      </w:r>
    </w:p>
    <w:p>
      <w:pPr>
        <w:pStyle w:val="ListBullet"/>
      </w:pPr>
      <w:r>
        <w:t>Delivery-level derived metrics shall be calculated from approved revenue and expense entries.</w:t>
      </w:r>
    </w:p>
    <w:p>
      <w:pPr>
        <w:pStyle w:val="ListBullet"/>
      </w:pPr>
      <w:r>
        <w:t>Company expenses and HR compensation summaries shall remain separately identifiable from delivery expenses.</w:t>
      </w:r>
    </w:p>
    <w:p>
      <w:pPr>
        <w:pStyle w:val="ListBullet"/>
      </w:pPr>
      <w:r>
        <w:t>POD files shall be linked to an existing delivery and protected by server-side authorization.</w:t>
      </w:r>
    </w:p>
    <w:p>
      <w:pPr>
        <w:pStyle w:val="ListBullet"/>
      </w:pPr>
      <w:r>
        <w:t>Historical rates and recorded amounts shall remain auditable when current reference values change.</w:t>
      </w:r>
    </w:p>
    <w:p>
      <w:pPr>
        <w:pStyle w:val="ListBullet"/>
      </w:pPr>
      <w:r>
        <w:t>Retention periods, backup cadence, maximum upload size, supported file types, and deletion/archive policy are TBD.</w:t>
      </w:r>
    </w:p>
    <w:p>
      <w:pPr>
        <w:pStyle w:val="Heading1"/>
      </w:pPr>
      <w:r>
        <w:t>5. Business Rules and Calculations</w:t>
      </w:r>
    </w:p>
    <w:p>
      <w:r>
        <w:t>Provisional formula for validation only: delivery-level result = delivery revenue minus expenses approved as attributable to that delivery. Margin percentage may be calculated as (revenue minus attributable expenses) divided by revenue, multiplied by 100, when revenue is greater than zero. The client must approve the exact definition and handling of zero revenue, refunds, adjustments, overtime, demurrage, additional drops, labor, allowances, and subcontractor costs before these formulas become binding requirements.</w:t>
      </w:r>
    </w:p>
    <w:p>
      <w:r>
        <w:t>Company-level result is distinct from delivery/truck margin. It may need to account for delivery results, employee compensation, and non-delivery operating expenses. The approved model must prevent double counting when labor or allowances are already included in delivery costs. No company overhead allocation to truck-level margin should occur unless the client approves an allocation method.</w:t>
      </w:r>
    </w:p>
    <w:p>
      <w:pPr>
        <w:pStyle w:val="Heading1"/>
      </w:pPr>
      <w:r>
        <w:t>6. System Model and Diagrams</w:t>
      </w:r>
    </w:p>
    <w:p>
      <w:pPr>
        <w:pStyle w:val="Heading2"/>
      </w:pPr>
      <w:r>
        <w:t>6.1 Use Case Actors</w:t>
      </w:r>
    </w:p>
    <w:p>
      <w:pPr>
        <w:pStyle w:val="ListBullet"/>
      </w:pPr>
      <w:r>
        <w:t>Operations: maintain completed delivery records and POD.</w:t>
      </w:r>
    </w:p>
    <w:p>
      <w:pPr>
        <w:pStyle w:val="ListBullet"/>
      </w:pPr>
      <w:r>
        <w:t>Finance: maintain non-delivery company expenses.</w:t>
      </w:r>
    </w:p>
    <w:p>
      <w:pPr>
        <w:pStyle w:val="ListBullet"/>
      </w:pPr>
      <w:r>
        <w:t>HR: maintain compensation summaries.</w:t>
      </w:r>
    </w:p>
    <w:p>
      <w:pPr>
        <w:pStyle w:val="ListBullet"/>
      </w:pPr>
      <w:r>
        <w:t>President/Management: review permitted records and reports.</w:t>
      </w:r>
    </w:p>
    <w:p>
      <w:pPr>
        <w:pStyle w:val="ListBullet"/>
      </w:pPr>
      <w:r>
        <w:t>Administrator: manage accounts/roles and inspect audit history.</w:t>
      </w:r>
    </w:p>
    <w:p>
      <w:pPr>
        <w:pStyle w:val="Heading2"/>
      </w:pPr>
      <w:r>
        <w:t>6.2 ERD Entities to Consider</w:t>
      </w:r>
    </w:p>
    <w:p>
      <w:r>
        <w:t>Candidate entities include User, Role/Permission, Truck, Client, Employee, Delivery, DeliveryCrewAssignment, DeliveryTimestamp, DeliveryRevenueCharge, DeliveryExpense, PODDocument, CompanyExpense, CompensationPeriod/Summary, and AuditEvent. Final normalization and relationships depend on the approved business rules; this list is a design starting point, not a finalized schema.</w:t>
      </w:r>
    </w:p>
    <w:p>
      <w:pPr>
        <w:pStyle w:val="Heading2"/>
      </w:pPr>
      <w:r>
        <w:t>6.3 Activity Flow</w:t>
      </w:r>
    </w:p>
    <w:p>
      <w:pPr>
        <w:pStyle w:val="ListNumber"/>
      </w:pPr>
      <w:r>
        <w:t>Delivery is completed outside RouteX.</w:t>
      </w:r>
    </w:p>
    <w:p>
      <w:pPr>
        <w:pStyle w:val="ListNumber"/>
      </w:pPr>
      <w:r>
        <w:t>Operations records the completed transaction and required supporting information.</w:t>
      </w:r>
    </w:p>
    <w:p>
      <w:pPr>
        <w:pStyle w:val="ListNumber"/>
      </w:pPr>
      <w:r>
        <w:t>System validates and stores the delivery and linked documents.</w:t>
      </w:r>
    </w:p>
    <w:p>
      <w:pPr>
        <w:pStyle w:val="ListNumber"/>
      </w:pPr>
      <w:r>
        <w:t>System calculates approved delivery-level metrics.</w:t>
      </w:r>
    </w:p>
    <w:p>
      <w:pPr>
        <w:pStyle w:val="ListNumber"/>
      </w:pPr>
      <w:r>
        <w:t>Finance records non-delivery expenses; HR records compensation summaries.</w:t>
      </w:r>
    </w:p>
    <w:p>
      <w:pPr>
        <w:pStyle w:val="ListNumber"/>
      </w:pPr>
      <w:r>
        <w:t>President or authorized personnel search and review records and generate reports.</w:t>
      </w:r>
    </w:p>
    <w:p>
      <w:pPr>
        <w:pStyle w:val="ListNumber"/>
      </w:pPr>
      <w:r>
        <w:t>System enforces access and logs important actions.</w:t>
      </w:r>
    </w:p>
    <w:p>
      <w:pPr>
        <w:pStyle w:val="Heading1"/>
      </w:pPr>
      <w:r>
        <w:t>7. Technical Constraints</w:t>
      </w:r>
    </w:p>
    <w:p>
      <w:pPr>
        <w:pStyle w:val="ListBullet"/>
      </w:pPr>
      <w:r>
        <w:t>Frontend: Next.js 15 App Router, React, TypeScript, Tailwind CSS, shadcn/ui, Lucide React.</w:t>
      </w:r>
    </w:p>
    <w:p>
      <w:pPr>
        <w:pStyle w:val="ListBullet"/>
      </w:pPr>
      <w:r>
        <w:t>Server logic: Next.js Server Actions and Route Handlers.</w:t>
      </w:r>
    </w:p>
    <w:p>
      <w:pPr>
        <w:pStyle w:val="ListBullet"/>
      </w:pPr>
      <w:r>
        <w:t>Database: PostgreSQL through Supabase.</w:t>
      </w:r>
    </w:p>
    <w:p>
      <w:pPr>
        <w:pStyle w:val="ListBullet"/>
      </w:pPr>
      <w:r>
        <w:t>Authentication: Auth.js. File storage: Supabase Storage. Deployment: Vercel. Package manager: npm.</w:t>
      </w:r>
    </w:p>
    <w:p>
      <w:pPr>
        <w:pStyle w:val="ListBullet"/>
      </w:pPr>
      <w:r>
        <w:t>One Next.js app only. Do not use Prisma or create a separate backend application.</w:t>
      </w:r>
    </w:p>
    <w:p>
      <w:pPr>
        <w:pStyle w:val="ListBullet"/>
      </w:pPr>
      <w:r>
        <w:t>Use server-side authorization for reads, mutations, exports, and file access; apply appropriate database access policies.</w:t>
      </w:r>
    </w:p>
    <w:p>
      <w:pPr>
        <w:pStyle w:val="Heading1"/>
      </w:pPr>
      <w:r>
        <w:t>8. TBD List for Client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7F0"/>
          </w:tcPr>
          <w:p>
            <w:pPr>
              <w:spacing w:after="40"/>
            </w:pPr>
            <w:r/>
            <w:r>
              <w:rPr>
                <w:rFonts w:ascii="Arial" w:hAnsi="Arial"/>
                <w:b/>
                <w:sz w:val="18"/>
              </w:rPr>
              <w:t>ID</w:t>
            </w:r>
          </w:p>
        </w:tc>
        <w:tc>
          <w:tcPr>
            <w:tcW w:type="dxa" w:w="3360"/>
            <w:vAlign w:val="center"/>
            <w:shd w:fill="D9E7F0"/>
          </w:tcPr>
          <w:p>
            <w:pPr>
              <w:spacing w:after="40"/>
            </w:pPr>
            <w:r/>
            <w:r>
              <w:rPr>
                <w:rFonts w:ascii="Arial" w:hAnsi="Arial"/>
                <w:b/>
                <w:sz w:val="18"/>
              </w:rPr>
              <w:t>Question / unresolved rule</w:t>
            </w:r>
          </w:p>
        </w:tc>
        <w:tc>
          <w:tcPr>
            <w:tcW w:type="dxa" w:w="3360"/>
            <w:vAlign w:val="center"/>
            <w:shd w:fill="D9E7F0"/>
          </w:tcPr>
          <w:p>
            <w:pPr>
              <w:spacing w:after="40"/>
            </w:pPr>
            <w:r/>
            <w:r>
              <w:rPr>
                <w:rFonts w:ascii="Arial" w:hAnsi="Arial"/>
                <w:b/>
                <w:sz w:val="18"/>
              </w:rPr>
              <w:t>Why it matters</w:t>
            </w:r>
          </w:p>
        </w:tc>
      </w:tr>
      <w:tr>
        <w:tc>
          <w:tcPr>
            <w:tcW w:type="dxa" w:w="3360"/>
            <w:vAlign w:val="center"/>
          </w:tcPr>
          <w:p>
            <w:pPr>
              <w:spacing w:after="40"/>
            </w:pPr>
            <w:r/>
            <w:r>
              <w:rPr>
                <w:rFonts w:ascii="Arial" w:hAnsi="Arial"/>
                <w:b w:val="0"/>
                <w:sz w:val="16"/>
              </w:rPr>
              <w:t>TBD-01</w:t>
            </w:r>
          </w:p>
        </w:tc>
        <w:tc>
          <w:tcPr>
            <w:tcW w:type="dxa" w:w="3360"/>
            <w:vAlign w:val="center"/>
          </w:tcPr>
          <w:p>
            <w:pPr>
              <w:spacing w:after="40"/>
            </w:pPr>
            <w:r/>
            <w:r>
              <w:rPr>
                <w:rFonts w:ascii="Arial" w:hAnsi="Arial"/>
                <w:b w:val="0"/>
                <w:sz w:val="16"/>
              </w:rPr>
              <w:t>Approved role-permission matrix and whether Customer Service/Monitoring is an active RouteX role.</w:t>
            </w:r>
          </w:p>
        </w:tc>
        <w:tc>
          <w:tcPr>
            <w:tcW w:type="dxa" w:w="3360"/>
            <w:vAlign w:val="center"/>
          </w:tcPr>
          <w:p>
            <w:pPr>
              <w:spacing w:after="40"/>
            </w:pPr>
            <w:r/>
            <w:r>
              <w:rPr>
                <w:rFonts w:ascii="Arial" w:hAnsi="Arial"/>
                <w:b w:val="0"/>
                <w:sz w:val="16"/>
              </w:rPr>
              <w:t>Determines route, record, export, and edit permissions.</w:t>
            </w:r>
          </w:p>
        </w:tc>
      </w:tr>
      <w:tr>
        <w:tc>
          <w:tcPr>
            <w:tcW w:type="dxa" w:w="3360"/>
            <w:vAlign w:val="center"/>
          </w:tcPr>
          <w:p>
            <w:pPr>
              <w:spacing w:after="40"/>
            </w:pPr>
            <w:r/>
            <w:r>
              <w:rPr>
                <w:rFonts w:ascii="Arial" w:hAnsi="Arial"/>
                <w:b w:val="0"/>
                <w:sz w:val="16"/>
              </w:rPr>
              <w:t>TBD-02</w:t>
            </w:r>
          </w:p>
        </w:tc>
        <w:tc>
          <w:tcPr>
            <w:tcW w:type="dxa" w:w="3360"/>
            <w:vAlign w:val="center"/>
          </w:tcPr>
          <w:p>
            <w:pPr>
              <w:spacing w:after="40"/>
            </w:pPr>
            <w:r/>
            <w:r>
              <w:rPr>
                <w:rFonts w:ascii="Arial" w:hAnsi="Arial"/>
                <w:b w:val="0"/>
                <w:sz w:val="16"/>
              </w:rPr>
              <w:t>Required delivery fields and whether records can be edited/deleted after submission.</w:t>
            </w:r>
          </w:p>
        </w:tc>
        <w:tc>
          <w:tcPr>
            <w:tcW w:type="dxa" w:w="3360"/>
            <w:vAlign w:val="center"/>
          </w:tcPr>
          <w:p>
            <w:pPr>
              <w:spacing w:after="40"/>
            </w:pPr>
            <w:r/>
            <w:r>
              <w:rPr>
                <w:rFonts w:ascii="Arial" w:hAnsi="Arial"/>
                <w:b w:val="0"/>
                <w:sz w:val="16"/>
              </w:rPr>
              <w:t>Validation and audit design.</w:t>
            </w:r>
          </w:p>
        </w:tc>
      </w:tr>
      <w:tr>
        <w:tc>
          <w:tcPr>
            <w:tcW w:type="dxa" w:w="3360"/>
            <w:vAlign w:val="center"/>
          </w:tcPr>
          <w:p>
            <w:pPr>
              <w:spacing w:after="40"/>
            </w:pPr>
            <w:r/>
            <w:r>
              <w:rPr>
                <w:rFonts w:ascii="Arial" w:hAnsi="Arial"/>
                <w:b w:val="0"/>
                <w:sz w:val="16"/>
              </w:rPr>
              <w:t>TBD-03</w:t>
            </w:r>
          </w:p>
        </w:tc>
        <w:tc>
          <w:tcPr>
            <w:tcW w:type="dxa" w:w="3360"/>
            <w:vAlign w:val="center"/>
          </w:tcPr>
          <w:p>
            <w:pPr>
              <w:spacing w:after="40"/>
            </w:pPr>
            <w:r/>
            <w:r>
              <w:rPr>
                <w:rFonts w:ascii="Arial" w:hAnsi="Arial"/>
                <w:b w:val="0"/>
                <w:sz w:val="16"/>
              </w:rPr>
              <w:t>Definitions for Call Time, ETA/arrival, Start Loading, End Loading, and Departure.</w:t>
            </w:r>
          </w:p>
        </w:tc>
        <w:tc>
          <w:tcPr>
            <w:tcW w:type="dxa" w:w="3360"/>
            <w:vAlign w:val="center"/>
          </w:tcPr>
          <w:p>
            <w:pPr>
              <w:spacing w:after="40"/>
            </w:pPr>
            <w:r/>
            <w:r>
              <w:rPr>
                <w:rFonts w:ascii="Arial" w:hAnsi="Arial"/>
                <w:b w:val="0"/>
                <w:sz w:val="16"/>
              </w:rPr>
              <w:t>Correct capture and any time-based charges.</w:t>
            </w:r>
          </w:p>
        </w:tc>
      </w:tr>
      <w:tr>
        <w:tc>
          <w:tcPr>
            <w:tcW w:type="dxa" w:w="3360"/>
            <w:vAlign w:val="center"/>
          </w:tcPr>
          <w:p>
            <w:pPr>
              <w:spacing w:after="40"/>
            </w:pPr>
            <w:r/>
            <w:r>
              <w:rPr>
                <w:rFonts w:ascii="Arial" w:hAnsi="Arial"/>
                <w:b w:val="0"/>
                <w:sz w:val="16"/>
              </w:rPr>
              <w:t>TBD-04</w:t>
            </w:r>
          </w:p>
        </w:tc>
        <w:tc>
          <w:tcPr>
            <w:tcW w:type="dxa" w:w="3360"/>
            <w:vAlign w:val="center"/>
          </w:tcPr>
          <w:p>
            <w:pPr>
              <w:spacing w:after="40"/>
            </w:pPr>
            <w:r/>
            <w:r>
              <w:rPr>
                <w:rFonts w:ascii="Arial" w:hAnsi="Arial"/>
                <w:b w:val="0"/>
                <w:sz w:val="16"/>
              </w:rPr>
              <w:t>Three-hour threshold and ₱500/hour charge: start/stop timestamps, partial hours, approval, and revenue classification.</w:t>
            </w:r>
          </w:p>
        </w:tc>
        <w:tc>
          <w:tcPr>
            <w:tcW w:type="dxa" w:w="3360"/>
            <w:vAlign w:val="center"/>
          </w:tcPr>
          <w:p>
            <w:pPr>
              <w:spacing w:after="40"/>
            </w:pPr>
            <w:r/>
            <w:r>
              <w:rPr>
                <w:rFonts w:ascii="Arial" w:hAnsi="Arial"/>
                <w:b w:val="0"/>
                <w:sz w:val="16"/>
              </w:rPr>
              <w:t>Avoid incorrect revenue calculations.</w:t>
            </w:r>
          </w:p>
        </w:tc>
      </w:tr>
      <w:tr>
        <w:tc>
          <w:tcPr>
            <w:tcW w:type="dxa" w:w="3360"/>
            <w:vAlign w:val="center"/>
          </w:tcPr>
          <w:p>
            <w:pPr>
              <w:spacing w:after="40"/>
            </w:pPr>
            <w:r/>
            <w:r>
              <w:rPr>
                <w:rFonts w:ascii="Arial" w:hAnsi="Arial"/>
                <w:b w:val="0"/>
                <w:sz w:val="16"/>
              </w:rPr>
              <w:t>TBD-05</w:t>
            </w:r>
          </w:p>
        </w:tc>
        <w:tc>
          <w:tcPr>
            <w:tcW w:type="dxa" w:w="3360"/>
            <w:vAlign w:val="center"/>
          </w:tcPr>
          <w:p>
            <w:pPr>
              <w:spacing w:after="40"/>
            </w:pPr>
            <w:r/>
            <w:r>
              <w:rPr>
                <w:rFonts w:ascii="Arial" w:hAnsi="Arial"/>
                <w:b w:val="0"/>
                <w:sz w:val="16"/>
              </w:rPr>
              <w:t>Meaning of the five-drop reference, included drops, and fee for each additional drop.</w:t>
            </w:r>
          </w:p>
        </w:tc>
        <w:tc>
          <w:tcPr>
            <w:tcW w:type="dxa" w:w="3360"/>
            <w:vAlign w:val="center"/>
          </w:tcPr>
          <w:p>
            <w:pPr>
              <w:spacing w:after="40"/>
            </w:pPr>
            <w:r/>
            <w:r>
              <w:rPr>
                <w:rFonts w:ascii="Arial" w:hAnsi="Arial"/>
                <w:b w:val="0"/>
                <w:sz w:val="16"/>
              </w:rPr>
              <w:t>Correct revenue/expense treatment.</w:t>
            </w:r>
          </w:p>
        </w:tc>
      </w:tr>
      <w:tr>
        <w:tc>
          <w:tcPr>
            <w:tcW w:type="dxa" w:w="3360"/>
            <w:vAlign w:val="center"/>
          </w:tcPr>
          <w:p>
            <w:pPr>
              <w:spacing w:after="40"/>
            </w:pPr>
            <w:r/>
            <w:r>
              <w:rPr>
                <w:rFonts w:ascii="Arial" w:hAnsi="Arial"/>
                <w:b w:val="0"/>
                <w:sz w:val="16"/>
              </w:rPr>
              <w:t>TBD-06</w:t>
            </w:r>
          </w:p>
        </w:tc>
        <w:tc>
          <w:tcPr>
            <w:tcW w:type="dxa" w:w="3360"/>
            <w:vAlign w:val="center"/>
          </w:tcPr>
          <w:p>
            <w:pPr>
              <w:spacing w:after="40"/>
            </w:pPr>
            <w:r/>
            <w:r>
              <w:rPr>
                <w:rFonts w:ascii="Arial" w:hAnsi="Arial"/>
                <w:b w:val="0"/>
                <w:sz w:val="16"/>
              </w:rPr>
              <w:t>Whether overtime, demurrage, permits, and entry fees are revenue, expenses, or context-dependent.</w:t>
            </w:r>
          </w:p>
        </w:tc>
        <w:tc>
          <w:tcPr>
            <w:tcW w:type="dxa" w:w="3360"/>
            <w:vAlign w:val="center"/>
          </w:tcPr>
          <w:p>
            <w:pPr>
              <w:spacing w:after="40"/>
            </w:pPr>
            <w:r/>
            <w:r>
              <w:rPr>
                <w:rFonts w:ascii="Arial" w:hAnsi="Arial"/>
                <w:b w:val="0"/>
                <w:sz w:val="16"/>
              </w:rPr>
              <w:t>Correct classification and reports.</w:t>
            </w:r>
          </w:p>
        </w:tc>
      </w:tr>
      <w:tr>
        <w:tc>
          <w:tcPr>
            <w:tcW w:type="dxa" w:w="3360"/>
            <w:vAlign w:val="center"/>
          </w:tcPr>
          <w:p>
            <w:pPr>
              <w:spacing w:after="40"/>
            </w:pPr>
            <w:r/>
            <w:r>
              <w:rPr>
                <w:rFonts w:ascii="Arial" w:hAnsi="Arial"/>
                <w:b w:val="0"/>
                <w:sz w:val="16"/>
              </w:rPr>
              <w:t>TBD-07</w:t>
            </w:r>
          </w:p>
        </w:tc>
        <w:tc>
          <w:tcPr>
            <w:tcW w:type="dxa" w:w="3360"/>
            <w:vAlign w:val="center"/>
          </w:tcPr>
          <w:p>
            <w:pPr>
              <w:spacing w:after="40"/>
            </w:pPr>
            <w:r/>
            <w:r>
              <w:rPr>
                <w:rFonts w:ascii="Arial" w:hAnsi="Arial"/>
                <w:b w:val="0"/>
                <w:sz w:val="16"/>
              </w:rPr>
              <w:t>₱700 daily rate, minimum ₱350 allowance, who receives each amount, trip/payroll split, and reconciliation.</w:t>
            </w:r>
          </w:p>
        </w:tc>
        <w:tc>
          <w:tcPr>
            <w:tcW w:type="dxa" w:w="3360"/>
            <w:vAlign w:val="center"/>
          </w:tcPr>
          <w:p>
            <w:pPr>
              <w:spacing w:after="40"/>
            </w:pPr>
            <w:r/>
            <w:r>
              <w:rPr>
                <w:rFonts w:ascii="Arial" w:hAnsi="Arial"/>
                <w:b w:val="0"/>
                <w:sz w:val="16"/>
              </w:rPr>
              <w:t>Avoid duplicate or inaccurate compensation.</w:t>
            </w:r>
          </w:p>
        </w:tc>
      </w:tr>
      <w:tr>
        <w:tc>
          <w:tcPr>
            <w:tcW w:type="dxa" w:w="3360"/>
            <w:vAlign w:val="center"/>
          </w:tcPr>
          <w:p>
            <w:pPr>
              <w:spacing w:after="40"/>
            </w:pPr>
            <w:r/>
            <w:r>
              <w:rPr>
                <w:rFonts w:ascii="Arial" w:hAnsi="Arial"/>
                <w:b w:val="0"/>
                <w:sz w:val="16"/>
              </w:rPr>
              <w:t>TBD-08</w:t>
            </w:r>
          </w:p>
        </w:tc>
        <w:tc>
          <w:tcPr>
            <w:tcW w:type="dxa" w:w="3360"/>
            <w:vAlign w:val="center"/>
          </w:tcPr>
          <w:p>
            <w:pPr>
              <w:spacing w:after="40"/>
            </w:pPr>
            <w:r/>
            <w:r>
              <w:rPr>
                <w:rFonts w:ascii="Arial" w:hAnsi="Arial"/>
                <w:b w:val="0"/>
                <w:sz w:val="16"/>
              </w:rPr>
              <w:t>Payroll cutoff/payout rules, employee-specific rates, and whether the system only summarizes or calculates payroll.</w:t>
            </w:r>
          </w:p>
        </w:tc>
        <w:tc>
          <w:tcPr>
            <w:tcW w:type="dxa" w:w="3360"/>
            <w:vAlign w:val="center"/>
          </w:tcPr>
          <w:p>
            <w:pPr>
              <w:spacing w:after="40"/>
            </w:pPr>
            <w:r/>
            <w:r>
              <w:rPr>
                <w:rFonts w:ascii="Arial" w:hAnsi="Arial"/>
                <w:b w:val="0"/>
                <w:sz w:val="16"/>
              </w:rPr>
              <w:t>Defines HR module boundary.</w:t>
            </w:r>
          </w:p>
        </w:tc>
      </w:tr>
      <w:tr>
        <w:tc>
          <w:tcPr>
            <w:tcW w:type="dxa" w:w="3360"/>
            <w:vAlign w:val="center"/>
          </w:tcPr>
          <w:p>
            <w:pPr>
              <w:spacing w:after="40"/>
            </w:pPr>
            <w:r/>
            <w:r>
              <w:rPr>
                <w:rFonts w:ascii="Arial" w:hAnsi="Arial"/>
                <w:b w:val="0"/>
                <w:sz w:val="16"/>
              </w:rPr>
              <w:t>TBD-09</w:t>
            </w:r>
          </w:p>
        </w:tc>
        <w:tc>
          <w:tcPr>
            <w:tcW w:type="dxa" w:w="3360"/>
            <w:vAlign w:val="center"/>
          </w:tcPr>
          <w:p>
            <w:pPr>
              <w:spacing w:after="40"/>
            </w:pPr>
            <w:r/>
            <w:r>
              <w:rPr>
                <w:rFonts w:ascii="Arial" w:hAnsi="Arial"/>
                <w:b w:val="0"/>
                <w:sz w:val="16"/>
              </w:rPr>
              <w:t>How compensation is attributed when an employee works across multiple deliveries or trucks.</w:t>
            </w:r>
          </w:p>
        </w:tc>
        <w:tc>
          <w:tcPr>
            <w:tcW w:type="dxa" w:w="3360"/>
            <w:vAlign w:val="center"/>
          </w:tcPr>
          <w:p>
            <w:pPr>
              <w:spacing w:after="40"/>
            </w:pPr>
            <w:r/>
            <w:r>
              <w:rPr>
                <w:rFonts w:ascii="Arial" w:hAnsi="Arial"/>
                <w:b w:val="0"/>
                <w:sz w:val="16"/>
              </w:rPr>
              <w:t>Prevents distorted truck profitability.</w:t>
            </w:r>
          </w:p>
        </w:tc>
      </w:tr>
      <w:tr>
        <w:tc>
          <w:tcPr>
            <w:tcW w:type="dxa" w:w="3360"/>
            <w:vAlign w:val="center"/>
          </w:tcPr>
          <w:p>
            <w:pPr>
              <w:spacing w:after="40"/>
            </w:pPr>
            <w:r/>
            <w:r>
              <w:rPr>
                <w:rFonts w:ascii="Arial" w:hAnsi="Arial"/>
                <w:b w:val="0"/>
                <w:sz w:val="16"/>
              </w:rPr>
              <w:t>TBD-10</w:t>
            </w:r>
          </w:p>
        </w:tc>
        <w:tc>
          <w:tcPr>
            <w:tcW w:type="dxa" w:w="3360"/>
            <w:vAlign w:val="center"/>
          </w:tcPr>
          <w:p>
            <w:pPr>
              <w:spacing w:after="40"/>
            </w:pPr>
            <w:r/>
            <w:r>
              <w:rPr>
                <w:rFonts w:ascii="Arial" w:hAnsi="Arial"/>
                <w:b w:val="0"/>
                <w:sz w:val="16"/>
              </w:rPr>
              <w:t>Treatment of owned vs subcontracted trucks and subcontractor payments in margin calculations.</w:t>
            </w:r>
          </w:p>
        </w:tc>
        <w:tc>
          <w:tcPr>
            <w:tcW w:type="dxa" w:w="3360"/>
            <w:vAlign w:val="center"/>
          </w:tcPr>
          <w:p>
            <w:pPr>
              <w:spacing w:after="40"/>
            </w:pPr>
            <w:r/>
            <w:r>
              <w:rPr>
                <w:rFonts w:ascii="Arial" w:hAnsi="Arial"/>
                <w:b w:val="0"/>
                <w:sz w:val="16"/>
              </w:rPr>
              <w:t>Defines delivery/truck result.</w:t>
            </w:r>
          </w:p>
        </w:tc>
      </w:tr>
      <w:tr>
        <w:tc>
          <w:tcPr>
            <w:tcW w:type="dxa" w:w="3360"/>
            <w:vAlign w:val="center"/>
          </w:tcPr>
          <w:p>
            <w:pPr>
              <w:spacing w:after="40"/>
            </w:pPr>
            <w:r/>
            <w:r>
              <w:rPr>
                <w:rFonts w:ascii="Arial" w:hAnsi="Arial"/>
                <w:b w:val="0"/>
                <w:sz w:val="16"/>
              </w:rPr>
              <w:t>TBD-11</w:t>
            </w:r>
          </w:p>
        </w:tc>
        <w:tc>
          <w:tcPr>
            <w:tcW w:type="dxa" w:w="3360"/>
            <w:vAlign w:val="center"/>
          </w:tcPr>
          <w:p>
            <w:pPr>
              <w:spacing w:after="40"/>
            </w:pPr>
            <w:r/>
            <w:r>
              <w:rPr>
                <w:rFonts w:ascii="Arial" w:hAnsi="Arial"/>
                <w:b w:val="0"/>
                <w:sz w:val="16"/>
              </w:rPr>
              <w:t>Treatment of cancelled, incomplete, disputed, adjusted, refunded, or duplicate deliveries.</w:t>
            </w:r>
          </w:p>
        </w:tc>
        <w:tc>
          <w:tcPr>
            <w:tcW w:type="dxa" w:w="3360"/>
            <w:vAlign w:val="center"/>
          </w:tcPr>
          <w:p>
            <w:pPr>
              <w:spacing w:after="40"/>
            </w:pPr>
            <w:r/>
            <w:r>
              <w:rPr>
                <w:rFonts w:ascii="Arial" w:hAnsi="Arial"/>
                <w:b w:val="0"/>
                <w:sz w:val="16"/>
              </w:rPr>
              <w:t>Data lifecycle and reporting consistency.</w:t>
            </w:r>
          </w:p>
        </w:tc>
      </w:tr>
      <w:tr>
        <w:tc>
          <w:tcPr>
            <w:tcW w:type="dxa" w:w="3360"/>
            <w:vAlign w:val="center"/>
          </w:tcPr>
          <w:p>
            <w:pPr>
              <w:spacing w:after="40"/>
            </w:pPr>
            <w:r/>
            <w:r>
              <w:rPr>
                <w:rFonts w:ascii="Arial" w:hAnsi="Arial"/>
                <w:b w:val="0"/>
                <w:sz w:val="16"/>
              </w:rPr>
              <w:t>TBD-12</w:t>
            </w:r>
          </w:p>
        </w:tc>
        <w:tc>
          <w:tcPr>
            <w:tcW w:type="dxa" w:w="3360"/>
            <w:vAlign w:val="center"/>
          </w:tcPr>
          <w:p>
            <w:pPr>
              <w:spacing w:after="40"/>
            </w:pPr>
            <w:r/>
            <w:r>
              <w:rPr>
                <w:rFonts w:ascii="Arial" w:hAnsi="Arial"/>
                <w:b w:val="0"/>
                <w:sz w:val="16"/>
              </w:rPr>
              <w:t>Company-level profit formula and whether any overhead allocation is required.</w:t>
            </w:r>
          </w:p>
        </w:tc>
        <w:tc>
          <w:tcPr>
            <w:tcW w:type="dxa" w:w="3360"/>
            <w:vAlign w:val="center"/>
          </w:tcPr>
          <w:p>
            <w:pPr>
              <w:spacing w:after="40"/>
            </w:pPr>
            <w:r/>
            <w:r>
              <w:rPr>
                <w:rFonts w:ascii="Arial" w:hAnsi="Arial"/>
                <w:b w:val="0"/>
                <w:sz w:val="16"/>
              </w:rPr>
              <w:t>Prevents double counting and unsupported allocations.</w:t>
            </w:r>
          </w:p>
        </w:tc>
      </w:tr>
      <w:tr>
        <w:tc>
          <w:tcPr>
            <w:tcW w:type="dxa" w:w="3360"/>
            <w:vAlign w:val="center"/>
          </w:tcPr>
          <w:p>
            <w:pPr>
              <w:spacing w:after="40"/>
            </w:pPr>
            <w:r/>
            <w:r>
              <w:rPr>
                <w:rFonts w:ascii="Arial" w:hAnsi="Arial"/>
                <w:b w:val="0"/>
                <w:sz w:val="16"/>
              </w:rPr>
              <w:t>TBD-13</w:t>
            </w:r>
          </w:p>
        </w:tc>
        <w:tc>
          <w:tcPr>
            <w:tcW w:type="dxa" w:w="3360"/>
            <w:vAlign w:val="center"/>
          </w:tcPr>
          <w:p>
            <w:pPr>
              <w:spacing w:after="40"/>
            </w:pPr>
            <w:r/>
            <w:r>
              <w:rPr>
                <w:rFonts w:ascii="Arial" w:hAnsi="Arial"/>
                <w:b w:val="0"/>
                <w:sz w:val="16"/>
              </w:rPr>
              <w:t>Retention, backup schedule, file limits, export requirements, and supported browsers.</w:t>
            </w:r>
          </w:p>
        </w:tc>
        <w:tc>
          <w:tcPr>
            <w:tcW w:type="dxa" w:w="3360"/>
            <w:vAlign w:val="center"/>
          </w:tcPr>
          <w:p>
            <w:pPr>
              <w:spacing w:after="40"/>
            </w:pPr>
            <w:r/>
            <w:r>
              <w:rPr>
                <w:rFonts w:ascii="Arial" w:hAnsi="Arial"/>
                <w:b w:val="0"/>
                <w:sz w:val="16"/>
              </w:rPr>
              <w:t>Production readiness.</w:t>
            </w:r>
          </w:p>
        </w:tc>
      </w:tr>
    </w:tbl>
    <w:p/>
    <w:p>
      <w:pPr>
        <w:pStyle w:val="Heading1"/>
      </w:pPr>
      <w:r>
        <w:t>Appendix A. Glossary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7F0"/>
          </w:tcPr>
          <w:p>
            <w:pPr>
              <w:spacing w:after="40"/>
            </w:pPr>
            <w:r/>
            <w:r>
              <w:rPr>
                <w:rFonts w:ascii="Arial" w:hAnsi="Arial"/>
                <w:b/>
                <w:sz w:val="18"/>
              </w:rPr>
              <w:t>Term</w:t>
            </w:r>
          </w:p>
        </w:tc>
        <w:tc>
          <w:tcPr>
            <w:tcW w:type="dxa" w:w="5040"/>
            <w:vAlign w:val="center"/>
            <w:shd w:fill="D9E7F0"/>
          </w:tcPr>
          <w:p>
            <w:pPr>
              <w:spacing w:after="40"/>
            </w:pPr>
            <w:r/>
            <w:r>
              <w:rPr>
                <w:rFonts w:ascii="Arial" w:hAnsi="Arial"/>
                <w:b/>
                <w:sz w:val="18"/>
              </w:rPr>
              <w:t>Meaning in RouteX</w:t>
            </w:r>
          </w:p>
        </w:tc>
      </w:tr>
      <w:tr>
        <w:tc>
          <w:tcPr>
            <w:tcW w:type="dxa" w:w="5040"/>
            <w:vAlign w:val="center"/>
          </w:tcPr>
          <w:p>
            <w:pPr>
              <w:spacing w:after="40"/>
            </w:pPr>
            <w:r/>
            <w:r>
              <w:rPr>
                <w:rFonts w:ascii="Arial" w:hAnsi="Arial"/>
                <w:b w:val="0"/>
                <w:sz w:val="16"/>
              </w:rPr>
              <w:t>POD</w:t>
            </w:r>
          </w:p>
        </w:tc>
        <w:tc>
          <w:tcPr>
            <w:tcW w:type="dxa" w:w="5040"/>
            <w:vAlign w:val="center"/>
          </w:tcPr>
          <w:p>
            <w:pPr>
              <w:spacing w:after="40"/>
            </w:pPr>
            <w:r/>
            <w:r>
              <w:rPr>
                <w:rFonts w:ascii="Arial" w:hAnsi="Arial"/>
                <w:b w:val="0"/>
                <w:sz w:val="16"/>
              </w:rPr>
              <w:t>Proof of Delivery document associated with a delivery record.</w:t>
            </w:r>
          </w:p>
        </w:tc>
      </w:tr>
      <w:tr>
        <w:tc>
          <w:tcPr>
            <w:tcW w:type="dxa" w:w="5040"/>
            <w:vAlign w:val="center"/>
          </w:tcPr>
          <w:p>
            <w:pPr>
              <w:spacing w:after="40"/>
            </w:pPr>
            <w:r/>
            <w:r>
              <w:rPr>
                <w:rFonts w:ascii="Arial" w:hAnsi="Arial"/>
                <w:b w:val="0"/>
                <w:sz w:val="16"/>
              </w:rPr>
              <w:t>Delivery-level result</w:t>
            </w:r>
          </w:p>
        </w:tc>
        <w:tc>
          <w:tcPr>
            <w:tcW w:type="dxa" w:w="5040"/>
            <w:vAlign w:val="center"/>
          </w:tcPr>
          <w:p>
            <w:pPr>
              <w:spacing w:after="40"/>
            </w:pPr>
            <w:r/>
            <w:r>
              <w:rPr>
                <w:rFonts w:ascii="Arial" w:hAnsi="Arial"/>
                <w:b w:val="0"/>
                <w:sz w:val="16"/>
              </w:rPr>
              <w:t>Revenue less expenses approved as attributable to one delivery.</w:t>
            </w:r>
          </w:p>
        </w:tc>
      </w:tr>
      <w:tr>
        <w:tc>
          <w:tcPr>
            <w:tcW w:type="dxa" w:w="5040"/>
            <w:vAlign w:val="center"/>
          </w:tcPr>
          <w:p>
            <w:pPr>
              <w:spacing w:after="40"/>
            </w:pPr>
            <w:r/>
            <w:r>
              <w:rPr>
                <w:rFonts w:ascii="Arial" w:hAnsi="Arial"/>
                <w:b w:val="0"/>
                <w:sz w:val="16"/>
              </w:rPr>
              <w:t>Truck profitability</w:t>
            </w:r>
          </w:p>
        </w:tc>
        <w:tc>
          <w:tcPr>
            <w:tcW w:type="dxa" w:w="5040"/>
            <w:vAlign w:val="center"/>
          </w:tcPr>
          <w:p>
            <w:pPr>
              <w:spacing w:after="40"/>
            </w:pPr>
            <w:r/>
            <w:r>
              <w:rPr>
                <w:rFonts w:ascii="Arial" w:hAnsi="Arial"/>
                <w:b w:val="0"/>
                <w:sz w:val="16"/>
              </w:rPr>
              <w:t>Financial summary of deliveries associated with a truck over a selected period, using an approved formula.</w:t>
            </w:r>
          </w:p>
        </w:tc>
      </w:tr>
      <w:tr>
        <w:tc>
          <w:tcPr>
            <w:tcW w:type="dxa" w:w="5040"/>
            <w:vAlign w:val="center"/>
          </w:tcPr>
          <w:p>
            <w:pPr>
              <w:spacing w:after="40"/>
            </w:pPr>
            <w:r/>
            <w:r>
              <w:rPr>
                <w:rFonts w:ascii="Arial" w:hAnsi="Arial"/>
                <w:b w:val="0"/>
                <w:sz w:val="16"/>
              </w:rPr>
              <w:t>Company operating expense</w:t>
            </w:r>
          </w:p>
        </w:tc>
        <w:tc>
          <w:tcPr>
            <w:tcW w:type="dxa" w:w="5040"/>
            <w:vAlign w:val="center"/>
          </w:tcPr>
          <w:p>
            <w:pPr>
              <w:spacing w:after="40"/>
            </w:pPr>
            <w:r/>
            <w:r>
              <w:rPr>
                <w:rFonts w:ascii="Arial" w:hAnsi="Arial"/>
                <w:b w:val="0"/>
                <w:sz w:val="16"/>
              </w:rPr>
              <w:t>Expense not directly associated with one delivery and recorded separately by Finance.</w:t>
            </w:r>
          </w:p>
        </w:tc>
      </w:tr>
      <w:tr>
        <w:tc>
          <w:tcPr>
            <w:tcW w:type="dxa" w:w="5040"/>
            <w:vAlign w:val="center"/>
          </w:tcPr>
          <w:p>
            <w:pPr>
              <w:spacing w:after="40"/>
            </w:pPr>
            <w:r/>
            <w:r>
              <w:rPr>
                <w:rFonts w:ascii="Arial" w:hAnsi="Arial"/>
                <w:b w:val="0"/>
                <w:sz w:val="16"/>
              </w:rPr>
              <w:t>Compensation summary</w:t>
            </w:r>
          </w:p>
        </w:tc>
        <w:tc>
          <w:tcPr>
            <w:tcW w:type="dxa" w:w="5040"/>
            <w:vAlign w:val="center"/>
          </w:tcPr>
          <w:p>
            <w:pPr>
              <w:spacing w:after="40"/>
            </w:pPr>
            <w:r/>
            <w:r>
              <w:rPr>
                <w:rFonts w:ascii="Arial" w:hAnsi="Arial"/>
                <w:b w:val="0"/>
                <w:sz w:val="16"/>
              </w:rPr>
              <w:t>Amounts payable to staff, drivers, and helpers recorded or summarized by HR; not automatically a complete payroll calculation.</w:t>
            </w:r>
          </w:p>
        </w:tc>
      </w:tr>
      <w:tr>
        <w:tc>
          <w:tcPr>
            <w:tcW w:type="dxa" w:w="5040"/>
            <w:vAlign w:val="center"/>
          </w:tcPr>
          <w:p>
            <w:pPr>
              <w:spacing w:after="40"/>
            </w:pPr>
            <w:r/>
            <w:r>
              <w:rPr>
                <w:rFonts w:ascii="Arial" w:hAnsi="Arial"/>
                <w:b w:val="0"/>
                <w:sz w:val="16"/>
              </w:rPr>
              <w:t>TBD</w:t>
            </w:r>
          </w:p>
        </w:tc>
        <w:tc>
          <w:tcPr>
            <w:tcW w:type="dxa" w:w="5040"/>
            <w:vAlign w:val="center"/>
          </w:tcPr>
          <w:p>
            <w:pPr>
              <w:spacing w:after="40"/>
            </w:pPr>
            <w:r/>
            <w:r>
              <w:rPr>
                <w:rFonts w:ascii="Arial" w:hAnsi="Arial"/>
                <w:b w:val="0"/>
                <w:sz w:val="16"/>
              </w:rPr>
              <w:t>To Be Determined; requires client or team confirmation before implementation.</w:t>
            </w:r>
          </w:p>
        </w:tc>
      </w:tr>
    </w:tbl>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RouteX | SRS v1.1 | Working document, confirm all TBD items with the client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45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2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