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CAVITE STATE UNIVERSITY</w:t>
        <w:br/>
      </w:r>
      <w:r>
        <w:rPr>
          <w:sz w:val="18"/>
        </w:rPr>
        <w:t>College of Engineering and Information Technology</w:t>
        <w:br/>
        <w:t>Don Severino delas Alas Campus, Indang, Cavite</w:t>
      </w:r>
    </w:p>
    <w:p>
      <w:pPr>
        <w:jc w:val="center"/>
      </w:pPr>
      <w:r>
        <w:rPr>
          <w:b/>
          <w:color w:val="18324A"/>
          <w:sz w:val="42"/>
        </w:rPr>
        <w:t>SWOT Analysis</w:t>
      </w:r>
    </w:p>
    <w:p>
      <w:pPr>
        <w:jc w:val="center"/>
      </w:pPr>
      <w:r>
        <w:rPr>
          <w:i/>
          <w:sz w:val="22"/>
        </w:rPr>
        <w:t>Redeemed Route Logistics Inc. | RouteX Project</w:t>
      </w:r>
    </w:p>
    <w:p>
      <w:pPr>
        <w:jc w:val="center"/>
      </w:pPr>
      <w:r>
        <w:t>Prepared for Redeemed Route Logistics Inc.</w:t>
      </w:r>
    </w:p>
    <w:p>
      <w:pPr>
        <w:jc w:val="center"/>
      </w:pPr>
      <w:r>
        <w:t>Updated: October 2026 | Revised to reflect the latest confirmed client workflow and RouteX scope</w:t>
      </w:r>
    </w:p>
    <w:p>
      <w:r>
        <w:br w:type="page"/>
      </w:r>
    </w:p>
    <w:p>
      <w:pPr>
        <w:pStyle w:val="Heading1"/>
      </w:pPr>
      <w:r>
        <w:t>I. SWOT Identification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7F0"/>
          </w:tcPr>
          <w:p>
            <w:pPr>
              <w:spacing w:after="40"/>
            </w:pPr>
            <w:r/>
            <w:r>
              <w:rPr>
                <w:rFonts w:ascii="Arial" w:hAnsi="Arial"/>
                <w:b/>
                <w:sz w:val="18"/>
              </w:rPr>
              <w:t>Strengths</w:t>
            </w:r>
          </w:p>
        </w:tc>
        <w:tc>
          <w:tcPr>
            <w:tcW w:type="dxa" w:w="5040"/>
            <w:vAlign w:val="center"/>
            <w:shd w:fill="D9E7F0"/>
          </w:tcPr>
          <w:p>
            <w:pPr>
              <w:spacing w:after="40"/>
            </w:pPr>
            <w:r/>
            <w:r>
              <w:rPr>
                <w:rFonts w:ascii="Arial" w:hAnsi="Arial"/>
                <w:b/>
                <w:sz w:val="18"/>
              </w:rPr>
              <w:t>Weaknesses</w:t>
            </w:r>
          </w:p>
        </w:tc>
      </w:tr>
      <w:tr>
        <w:tc>
          <w:tcPr>
            <w:tcW w:type="dxa" w:w="5040"/>
            <w:vAlign w:val="center"/>
          </w:tcPr>
          <w:p>
            <w:pPr>
              <w:spacing w:after="40"/>
            </w:pPr>
            <w:r/>
            <w:r>
              <w:rPr>
                <w:rFonts w:ascii="Arial" w:hAnsi="Arial"/>
                <w:b w:val="0"/>
                <w:sz w:val="16"/>
              </w:rPr>
              <w:t>• Established client relationships and delivery service experience.</w:t>
              <w:br/>
              <w:t>• Structured delivery procedures and crew coordination.</w:t>
              <w:br/>
              <w:t>• Trained drivers and helpers.</w:t>
              <w:br/>
              <w:t>• Owned and subcontracted fleet model.</w:t>
              <w:br/>
              <w:t>• Existing monitoring practices on some owned trucks, including cloud DVR/dashcams.</w:t>
              <w:br/>
              <w:t>• Operational and finance/HR functions already exist.</w:t>
              <w:br/>
              <w:t>• Broad service coverage and established company presence.</w:t>
            </w:r>
          </w:p>
        </w:tc>
        <w:tc>
          <w:tcPr>
            <w:tcW w:type="dxa" w:w="5040"/>
            <w:vAlign w:val="center"/>
          </w:tcPr>
          <w:p>
            <w:pPr>
              <w:spacing w:after="40"/>
            </w:pPr>
            <w:r/>
            <w:r>
              <w:rPr>
                <w:rFonts w:ascii="Arial" w:hAnsi="Arial"/>
                <w:b w:val="0"/>
                <w:sz w:val="16"/>
              </w:rPr>
              <w:t>• No centralized operational and financial record system.</w:t>
              <w:br/>
              <w:t>• Reliance on spreadsheets, paper, and communication channels.</w:t>
              <w:br/>
              <w:t>• Delivery, cost, and margin information can be fragmented across sources.</w:t>
              <w:br/>
              <w:t>• Subcontracted fleet visibility is more limited than owned-fleet visibility.</w:t>
              <w:br/>
              <w:t>• Manual reporting and retrieval take time.</w:t>
              <w:br/>
              <w:t>• POD documents may be incomplete or difficult to retrieve.</w:t>
              <w:br/>
              <w:t>• Rising operating costs and collection delays put pressure on cash flow.</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7F0"/>
          </w:tcPr>
          <w:p>
            <w:pPr>
              <w:spacing w:after="40"/>
            </w:pPr>
            <w:r/>
            <w:r>
              <w:rPr>
                <w:rFonts w:ascii="Arial" w:hAnsi="Arial"/>
                <w:b/>
                <w:sz w:val="18"/>
              </w:rPr>
              <w:t>Opportunities</w:t>
            </w:r>
          </w:p>
        </w:tc>
        <w:tc>
          <w:tcPr>
            <w:tcW w:type="dxa" w:w="5040"/>
            <w:vAlign w:val="center"/>
            <w:shd w:fill="D9E7F0"/>
          </w:tcPr>
          <w:p>
            <w:pPr>
              <w:spacing w:after="40"/>
            </w:pPr>
            <w:r/>
            <w:r>
              <w:rPr>
                <w:rFonts w:ascii="Arial" w:hAnsi="Arial"/>
                <w:b/>
                <w:sz w:val="18"/>
              </w:rPr>
              <w:t>Threats</w:t>
            </w:r>
          </w:p>
        </w:tc>
      </w:tr>
      <w:tr>
        <w:tc>
          <w:tcPr>
            <w:tcW w:type="dxa" w:w="5040"/>
            <w:vAlign w:val="center"/>
          </w:tcPr>
          <w:p>
            <w:pPr>
              <w:spacing w:after="40"/>
            </w:pPr>
            <w:r/>
            <w:r>
              <w:rPr>
                <w:rFonts w:ascii="Arial" w:hAnsi="Arial"/>
                <w:b w:val="0"/>
                <w:sz w:val="16"/>
              </w:rPr>
              <w:t>• Build RouteX to search completed deliveries by plate number and period.</w:t>
              <w:br/>
              <w:t>• Centralize delivery revenue, delivery costs, POD, company expenses, and compensation summaries.</w:t>
              <w:br/>
              <w:t>• Improve truck-level and company-level profitability review.</w:t>
              <w:br/>
              <w:t>• Improve reporting and document retrieval.</w:t>
              <w:br/>
              <w:t>• Future expansion or integrations can be evaluated separately after core needs are met.</w:t>
            </w:r>
          </w:p>
        </w:tc>
        <w:tc>
          <w:tcPr>
            <w:tcW w:type="dxa" w:w="5040"/>
            <w:vAlign w:val="center"/>
          </w:tcPr>
          <w:p>
            <w:pPr>
              <w:spacing w:after="40"/>
            </w:pPr>
            <w:r/>
            <w:r>
              <w:rPr>
                <w:rFonts w:ascii="Arial" w:hAnsi="Arial"/>
                <w:b w:val="0"/>
                <w:sz w:val="16"/>
              </w:rPr>
              <w:t>• Fuel price increases and general operating-cost inflation.</w:t>
              <w:br/>
              <w:t>• Price competition and clients choosing lower-cost providers.</w:t>
              <w:br/>
              <w:t>• Delayed collections and cash-flow pressure.</w:t>
              <w:br/>
              <w:t>• Traffic, access restrictions, permits, and delivery delays.</w:t>
              <w:br/>
              <w:t>• Truck breakdowns, accidents, and other operational disruptions.</w:t>
              <w:br/>
              <w:t>• Incomplete or inaccurate source records can reduce report reliability.</w:t>
            </w:r>
          </w:p>
        </w:tc>
      </w:tr>
    </w:tbl>
    <w:p/>
    <w:p>
      <w:pPr>
        <w:pStyle w:val="Heading1"/>
      </w:pPr>
      <w:r>
        <w:t>II. SWOT Strategies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7F0"/>
          </w:tcPr>
          <w:p>
            <w:pPr>
              <w:spacing w:after="40"/>
            </w:pPr>
            <w:r/>
            <w:r>
              <w:rPr>
                <w:rFonts w:ascii="Arial" w:hAnsi="Arial"/>
                <w:b/>
                <w:sz w:val="18"/>
              </w:rPr>
              <w:t>Strategy</w:t>
            </w:r>
          </w:p>
        </w:tc>
        <w:tc>
          <w:tcPr>
            <w:tcW w:type="dxa" w:w="5040"/>
            <w:vAlign w:val="center"/>
            <w:shd w:fill="D9E7F0"/>
          </w:tcPr>
          <w:p>
            <w:pPr>
              <w:spacing w:after="40"/>
            </w:pPr>
            <w:r/>
            <w:r>
              <w:rPr>
                <w:rFonts w:ascii="Arial" w:hAnsi="Arial"/>
                <w:b/>
                <w:sz w:val="18"/>
              </w:rPr>
              <w:t>Action</w:t>
            </w:r>
          </w:p>
        </w:tc>
      </w:tr>
      <w:tr>
        <w:tc>
          <w:tcPr>
            <w:tcW w:type="dxa" w:w="5040"/>
            <w:vAlign w:val="center"/>
          </w:tcPr>
          <w:p>
            <w:pPr>
              <w:spacing w:after="40"/>
            </w:pPr>
            <w:r/>
            <w:r>
              <w:rPr>
                <w:rFonts w:ascii="Arial" w:hAnsi="Arial"/>
                <w:b w:val="0"/>
                <w:sz w:val="16"/>
              </w:rPr>
              <w:t>SO: Use strengths to pursue opportunities</w:t>
            </w:r>
          </w:p>
        </w:tc>
        <w:tc>
          <w:tcPr>
            <w:tcW w:type="dxa" w:w="5040"/>
            <w:vAlign w:val="center"/>
          </w:tcPr>
          <w:p>
            <w:pPr>
              <w:spacing w:after="40"/>
            </w:pPr>
            <w:r/>
            <w:r>
              <w:rPr>
                <w:rFonts w:ascii="Arial" w:hAnsi="Arial"/>
                <w:b w:val="0"/>
                <w:sz w:val="16"/>
              </w:rPr>
              <w:t>Use existing delivery procedures and staff expertise to standardize completed-delivery records, POD retrieval, and plate-number-based profitability review.</w:t>
            </w:r>
          </w:p>
        </w:tc>
      </w:tr>
      <w:tr>
        <w:tc>
          <w:tcPr>
            <w:tcW w:type="dxa" w:w="5040"/>
            <w:vAlign w:val="center"/>
          </w:tcPr>
          <w:p>
            <w:pPr>
              <w:spacing w:after="40"/>
            </w:pPr>
            <w:r/>
            <w:r>
              <w:rPr>
                <w:rFonts w:ascii="Arial" w:hAnsi="Arial"/>
                <w:b w:val="0"/>
                <w:sz w:val="16"/>
              </w:rPr>
              <w:t>ST: Use strengths to reduce threats</w:t>
            </w:r>
          </w:p>
        </w:tc>
        <w:tc>
          <w:tcPr>
            <w:tcW w:type="dxa" w:w="5040"/>
            <w:vAlign w:val="center"/>
          </w:tcPr>
          <w:p>
            <w:pPr>
              <w:spacing w:after="40"/>
            </w:pPr>
            <w:r/>
            <w:r>
              <w:rPr>
                <w:rFonts w:ascii="Arial" w:hAnsi="Arial"/>
                <w:b w:val="0"/>
                <w:sz w:val="16"/>
              </w:rPr>
              <w:t>Use organized records and available supporting documents to investigate delivery disputes, identify cost changes, and support management decisions while preserving client service quality.</w:t>
            </w:r>
          </w:p>
        </w:tc>
      </w:tr>
      <w:tr>
        <w:tc>
          <w:tcPr>
            <w:tcW w:type="dxa" w:w="5040"/>
            <w:vAlign w:val="center"/>
          </w:tcPr>
          <w:p>
            <w:pPr>
              <w:spacing w:after="40"/>
            </w:pPr>
            <w:r/>
            <w:r>
              <w:rPr>
                <w:rFonts w:ascii="Arial" w:hAnsi="Arial"/>
                <w:b w:val="0"/>
                <w:sz w:val="16"/>
              </w:rPr>
              <w:t>WO: Address weaknesses through opportunities</w:t>
            </w:r>
          </w:p>
        </w:tc>
        <w:tc>
          <w:tcPr>
            <w:tcW w:type="dxa" w:w="5040"/>
            <w:vAlign w:val="center"/>
          </w:tcPr>
          <w:p>
            <w:pPr>
              <w:spacing w:after="40"/>
            </w:pPr>
            <w:r/>
            <w:r>
              <w:rPr>
                <w:rFonts w:ascii="Arial" w:hAnsi="Arial"/>
                <w:b w:val="0"/>
                <w:sz w:val="16"/>
              </w:rPr>
              <w:t>Introduce centralized search, consistent date filters, separate delivery and company expense records, HR compensation summaries, and repeatable reports.</w:t>
            </w:r>
          </w:p>
        </w:tc>
      </w:tr>
      <w:tr>
        <w:tc>
          <w:tcPr>
            <w:tcW w:type="dxa" w:w="5040"/>
            <w:vAlign w:val="center"/>
          </w:tcPr>
          <w:p>
            <w:pPr>
              <w:spacing w:after="40"/>
            </w:pPr>
            <w:r/>
            <w:r>
              <w:rPr>
                <w:rFonts w:ascii="Arial" w:hAnsi="Arial"/>
                <w:b w:val="0"/>
                <w:sz w:val="16"/>
              </w:rPr>
              <w:t>WT: Reduce exposure to weaknesses and threats</w:t>
            </w:r>
          </w:p>
        </w:tc>
        <w:tc>
          <w:tcPr>
            <w:tcW w:type="dxa" w:w="5040"/>
            <w:vAlign w:val="center"/>
          </w:tcPr>
          <w:p>
            <w:pPr>
              <w:spacing w:after="40"/>
            </w:pPr>
            <w:r/>
            <w:r>
              <w:rPr>
                <w:rFonts w:ascii="Arial" w:hAnsi="Arial"/>
                <w:b w:val="0"/>
                <w:sz w:val="16"/>
              </w:rPr>
              <w:t>Require data validation, role-based access, traceable financial edits, clear expense classification, and review of missing records before relying on profitability reports.</w:t>
            </w:r>
          </w:p>
        </w:tc>
      </w:tr>
    </w:tbl>
    <w:p/>
    <w:p>
      <w:pPr>
        <w:pStyle w:val="Heading1"/>
      </w:pPr>
      <w:r>
        <w:t>III. Problem Identification</w:t>
      </w:r>
    </w:p>
    <w:p>
      <w:pPr>
        <w:pStyle w:val="ListBullet"/>
      </w:pPr>
      <w:r>
        <w:t>Truck failures and other delivery disruptions.</w:t>
      </w:r>
    </w:p>
    <w:p>
      <w:pPr>
        <w:pStyle w:val="ListBullet"/>
      </w:pPr>
      <w:r>
        <w:t>Client cancellations or changes.</w:t>
      </w:r>
    </w:p>
    <w:p>
      <w:pPr>
        <w:pStyle w:val="ListBullet"/>
      </w:pPr>
      <w:r>
        <w:t>Road accidents and area-access restrictions.</w:t>
      </w:r>
    </w:p>
    <w:p>
      <w:pPr>
        <w:pStyle w:val="ListBullet"/>
      </w:pPr>
      <w:r>
        <w:t>Missing or incomplete Proof of Delivery documents.</w:t>
      </w:r>
    </w:p>
    <w:p>
      <w:pPr>
        <w:pStyle w:val="ListBullet"/>
      </w:pPr>
      <w:r>
        <w:t>Limited centralized visibility into subcontracted truck records.</w:t>
      </w:r>
    </w:p>
    <w:p>
      <w:pPr>
        <w:pStyle w:val="ListBullet"/>
      </w:pPr>
      <w:r>
        <w:t>Revenue, cost, and cash-flow pressure.</w:t>
      </w:r>
    </w:p>
    <w:p>
      <w:pPr>
        <w:pStyle w:val="ListBullet"/>
      </w:pPr>
      <w:r>
        <w:t>Fuel-price increases.</w:t>
      </w:r>
    </w:p>
    <w:p>
      <w:pPr>
        <w:pStyle w:val="ListBullet"/>
      </w:pPr>
      <w:r>
        <w:t>Difficulty retrieving delivery status and historical transaction details from multiple sources.</w:t>
      </w:r>
    </w:p>
    <w:p>
      <w:pPr>
        <w:pStyle w:val="ListBullet"/>
      </w:pPr>
      <w:r>
        <w:t>Absence of a centralized system for delivery and financial record retrieval.</w:t>
      </w:r>
    </w:p>
    <w:p>
      <w:pPr>
        <w:pStyle w:val="Heading1"/>
      </w:pPr>
      <w:r>
        <w:t>IV. Problem Prioritization</w:t>
      </w:r>
    </w:p>
    <w:p>
      <w:r>
        <w:t>The original draft ranked 'No automated system' first, truck failures second, missing/lost POD third, and income/revenue flow fourth using a 0–10 scoring scale. Those historical scores are preserved below for traceability, but the ranking should be revisited if the team’s current project priority is the centralization of records and profitability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7F0"/>
          </w:tcPr>
          <w:p>
            <w:pPr>
              <w:spacing w:after="40"/>
            </w:pPr>
            <w:r/>
            <w:r>
              <w:rPr>
                <w:rFonts w:ascii="Arial" w:hAnsi="Arial"/>
                <w:b/>
                <w:sz w:val="18"/>
              </w:rPr>
              <w:t>Problem</w:t>
            </w:r>
          </w:p>
        </w:tc>
        <w:tc>
          <w:tcPr>
            <w:tcW w:type="dxa" w:w="1440"/>
            <w:vAlign w:val="center"/>
            <w:shd w:fill="D9E7F0"/>
          </w:tcPr>
          <w:p>
            <w:pPr>
              <w:spacing w:after="40"/>
            </w:pPr>
            <w:r/>
            <w:r>
              <w:rPr>
                <w:rFonts w:ascii="Arial" w:hAnsi="Arial"/>
                <w:b/>
                <w:sz w:val="18"/>
              </w:rPr>
              <w:t>Urgency</w:t>
            </w:r>
          </w:p>
        </w:tc>
        <w:tc>
          <w:tcPr>
            <w:tcW w:type="dxa" w:w="1440"/>
            <w:vAlign w:val="center"/>
            <w:shd w:fill="D9E7F0"/>
          </w:tcPr>
          <w:p>
            <w:pPr>
              <w:spacing w:after="40"/>
            </w:pPr>
            <w:r/>
            <w:r>
              <w:rPr>
                <w:rFonts w:ascii="Arial" w:hAnsi="Arial"/>
                <w:b/>
                <w:sz w:val="18"/>
              </w:rPr>
              <w:t>Impact</w:t>
            </w:r>
          </w:p>
        </w:tc>
        <w:tc>
          <w:tcPr>
            <w:tcW w:type="dxa" w:w="1440"/>
            <w:vAlign w:val="center"/>
            <w:shd w:fill="D9E7F0"/>
          </w:tcPr>
          <w:p>
            <w:pPr>
              <w:spacing w:after="40"/>
            </w:pPr>
            <w:r/>
            <w:r>
              <w:rPr>
                <w:rFonts w:ascii="Arial" w:hAnsi="Arial"/>
                <w:b/>
                <w:sz w:val="18"/>
              </w:rPr>
              <w:t>Familiarity</w:t>
            </w:r>
          </w:p>
        </w:tc>
        <w:tc>
          <w:tcPr>
            <w:tcW w:type="dxa" w:w="1440"/>
            <w:vAlign w:val="center"/>
            <w:shd w:fill="D9E7F0"/>
          </w:tcPr>
          <w:p>
            <w:pPr>
              <w:spacing w:after="40"/>
            </w:pPr>
            <w:r/>
            <w:r>
              <w:rPr>
                <w:rFonts w:ascii="Arial" w:hAnsi="Arial"/>
                <w:b/>
                <w:sz w:val="18"/>
              </w:rPr>
              <w:t>Solvability</w:t>
            </w:r>
          </w:p>
        </w:tc>
        <w:tc>
          <w:tcPr>
            <w:tcW w:type="dxa" w:w="1440"/>
            <w:vAlign w:val="center"/>
            <w:shd w:fill="D9E7F0"/>
          </w:tcPr>
          <w:p>
            <w:pPr>
              <w:spacing w:after="40"/>
            </w:pPr>
            <w:r/>
            <w:r>
              <w:rPr>
                <w:rFonts w:ascii="Arial" w:hAnsi="Arial"/>
                <w:b/>
                <w:sz w:val="18"/>
              </w:rPr>
              <w:t>Implementability</w:t>
            </w:r>
          </w:p>
        </w:tc>
        <w:tc>
          <w:tcPr>
            <w:tcW w:type="dxa" w:w="1440"/>
            <w:vAlign w:val="center"/>
            <w:shd w:fill="D9E7F0"/>
          </w:tcPr>
          <w:p>
            <w:pPr>
              <w:spacing w:after="40"/>
            </w:pPr>
            <w:r/>
            <w:r>
              <w:rPr>
                <w:rFonts w:ascii="Arial" w:hAnsi="Arial"/>
                <w:b/>
                <w:sz w:val="18"/>
              </w:rPr>
              <w:t>Total / original rank</w:t>
            </w:r>
          </w:p>
        </w:tc>
      </w:tr>
      <w:tr>
        <w:tc>
          <w:tcPr>
            <w:tcW w:type="dxa" w:w="1440"/>
            <w:vAlign w:val="center"/>
          </w:tcPr>
          <w:p>
            <w:pPr>
              <w:spacing w:after="40"/>
            </w:pPr>
            <w:r/>
            <w:r>
              <w:rPr>
                <w:rFonts w:ascii="Arial" w:hAnsi="Arial"/>
                <w:b w:val="0"/>
                <w:sz w:val="16"/>
              </w:rPr>
              <w:t>No centralized/automated system</w:t>
            </w:r>
          </w:p>
        </w:tc>
        <w:tc>
          <w:tcPr>
            <w:tcW w:type="dxa" w:w="1440"/>
            <w:vAlign w:val="center"/>
          </w:tcPr>
          <w:p>
            <w:pPr>
              <w:spacing w:after="40"/>
            </w:pPr>
            <w:r/>
            <w:r>
              <w:rPr>
                <w:rFonts w:ascii="Arial" w:hAnsi="Arial"/>
                <w:b w:val="0"/>
                <w:sz w:val="16"/>
              </w:rPr>
              <w:t>6</w:t>
            </w:r>
          </w:p>
        </w:tc>
        <w:tc>
          <w:tcPr>
            <w:tcW w:type="dxa" w:w="1440"/>
            <w:vAlign w:val="center"/>
          </w:tcPr>
          <w:p>
            <w:pPr>
              <w:spacing w:after="40"/>
            </w:pPr>
            <w:r/>
            <w:r>
              <w:rPr>
                <w:rFonts w:ascii="Arial" w:hAnsi="Arial"/>
                <w:b w:val="0"/>
                <w:sz w:val="16"/>
              </w:rPr>
              <w:t>10</w:t>
            </w:r>
          </w:p>
        </w:tc>
        <w:tc>
          <w:tcPr>
            <w:tcW w:type="dxa" w:w="1440"/>
            <w:vAlign w:val="center"/>
          </w:tcPr>
          <w:p>
            <w:pPr>
              <w:spacing w:after="40"/>
            </w:pPr>
            <w:r/>
            <w:r>
              <w:rPr>
                <w:rFonts w:ascii="Arial" w:hAnsi="Arial"/>
                <w:b w:val="0"/>
                <w:sz w:val="16"/>
              </w:rPr>
              <w:t>10</w:t>
            </w:r>
          </w:p>
        </w:tc>
        <w:tc>
          <w:tcPr>
            <w:tcW w:type="dxa" w:w="1440"/>
            <w:vAlign w:val="center"/>
          </w:tcPr>
          <w:p>
            <w:pPr>
              <w:spacing w:after="40"/>
            </w:pPr>
            <w:r/>
            <w:r>
              <w:rPr>
                <w:rFonts w:ascii="Arial" w:hAnsi="Arial"/>
                <w:b w:val="0"/>
                <w:sz w:val="16"/>
              </w:rPr>
              <w:t>9</w:t>
            </w:r>
          </w:p>
        </w:tc>
        <w:tc>
          <w:tcPr>
            <w:tcW w:type="dxa" w:w="1440"/>
            <w:vAlign w:val="center"/>
          </w:tcPr>
          <w:p>
            <w:pPr>
              <w:spacing w:after="40"/>
            </w:pPr>
            <w:r/>
            <w:r>
              <w:rPr>
                <w:rFonts w:ascii="Arial" w:hAnsi="Arial"/>
                <w:b w:val="0"/>
                <w:sz w:val="16"/>
              </w:rPr>
              <w:t>8</w:t>
            </w:r>
          </w:p>
        </w:tc>
        <w:tc>
          <w:tcPr>
            <w:tcW w:type="dxa" w:w="1440"/>
            <w:vAlign w:val="center"/>
          </w:tcPr>
          <w:p>
            <w:pPr>
              <w:spacing w:after="40"/>
            </w:pPr>
            <w:r/>
            <w:r>
              <w:rPr>
                <w:rFonts w:ascii="Arial" w:hAnsi="Arial"/>
                <w:b w:val="0"/>
                <w:sz w:val="16"/>
              </w:rPr>
              <w:t>43 / Rank 1</w:t>
            </w:r>
          </w:p>
        </w:tc>
      </w:tr>
      <w:tr>
        <w:tc>
          <w:tcPr>
            <w:tcW w:type="dxa" w:w="1440"/>
            <w:vAlign w:val="center"/>
          </w:tcPr>
          <w:p>
            <w:pPr>
              <w:spacing w:after="40"/>
            </w:pPr>
            <w:r/>
            <w:r>
              <w:rPr>
                <w:rFonts w:ascii="Arial" w:hAnsi="Arial"/>
                <w:b w:val="0"/>
                <w:sz w:val="16"/>
              </w:rPr>
              <w:t>Truck failures</w:t>
            </w:r>
          </w:p>
        </w:tc>
        <w:tc>
          <w:tcPr>
            <w:tcW w:type="dxa" w:w="1440"/>
            <w:vAlign w:val="center"/>
          </w:tcPr>
          <w:p>
            <w:pPr>
              <w:spacing w:after="40"/>
            </w:pPr>
            <w:r/>
            <w:r>
              <w:rPr>
                <w:rFonts w:ascii="Arial" w:hAnsi="Arial"/>
                <w:b w:val="0"/>
                <w:sz w:val="16"/>
              </w:rPr>
              <w:t>9</w:t>
            </w:r>
          </w:p>
        </w:tc>
        <w:tc>
          <w:tcPr>
            <w:tcW w:type="dxa" w:w="1440"/>
            <w:vAlign w:val="center"/>
          </w:tcPr>
          <w:p>
            <w:pPr>
              <w:spacing w:after="40"/>
            </w:pPr>
            <w:r/>
            <w:r>
              <w:rPr>
                <w:rFonts w:ascii="Arial" w:hAnsi="Arial"/>
                <w:b w:val="0"/>
                <w:sz w:val="16"/>
              </w:rPr>
              <w:t>10</w:t>
            </w:r>
          </w:p>
        </w:tc>
        <w:tc>
          <w:tcPr>
            <w:tcW w:type="dxa" w:w="1440"/>
            <w:vAlign w:val="center"/>
          </w:tcPr>
          <w:p>
            <w:pPr>
              <w:spacing w:after="40"/>
            </w:pPr>
            <w:r/>
            <w:r>
              <w:rPr>
                <w:rFonts w:ascii="Arial" w:hAnsi="Arial"/>
                <w:b w:val="0"/>
                <w:sz w:val="16"/>
              </w:rPr>
              <w:t>9</w:t>
            </w:r>
          </w:p>
        </w:tc>
        <w:tc>
          <w:tcPr>
            <w:tcW w:type="dxa" w:w="1440"/>
            <w:vAlign w:val="center"/>
          </w:tcPr>
          <w:p>
            <w:pPr>
              <w:spacing w:after="40"/>
            </w:pPr>
            <w:r/>
            <w:r>
              <w:rPr>
                <w:rFonts w:ascii="Arial" w:hAnsi="Arial"/>
                <w:b w:val="0"/>
                <w:sz w:val="16"/>
              </w:rPr>
              <w:t>8</w:t>
            </w:r>
          </w:p>
        </w:tc>
        <w:tc>
          <w:tcPr>
            <w:tcW w:type="dxa" w:w="1440"/>
            <w:vAlign w:val="center"/>
          </w:tcPr>
          <w:p>
            <w:pPr>
              <w:spacing w:after="40"/>
            </w:pPr>
            <w:r/>
            <w:r>
              <w:rPr>
                <w:rFonts w:ascii="Arial" w:hAnsi="Arial"/>
                <w:b w:val="0"/>
                <w:sz w:val="16"/>
              </w:rPr>
              <w:t>6</w:t>
            </w:r>
          </w:p>
        </w:tc>
        <w:tc>
          <w:tcPr>
            <w:tcW w:type="dxa" w:w="1440"/>
            <w:vAlign w:val="center"/>
          </w:tcPr>
          <w:p>
            <w:pPr>
              <w:spacing w:after="40"/>
            </w:pPr>
            <w:r/>
            <w:r>
              <w:rPr>
                <w:rFonts w:ascii="Arial" w:hAnsi="Arial"/>
                <w:b w:val="0"/>
                <w:sz w:val="16"/>
              </w:rPr>
              <w:t>42 / Rank 2</w:t>
            </w:r>
          </w:p>
        </w:tc>
      </w:tr>
      <w:tr>
        <w:tc>
          <w:tcPr>
            <w:tcW w:type="dxa" w:w="1440"/>
            <w:vAlign w:val="center"/>
          </w:tcPr>
          <w:p>
            <w:pPr>
              <w:spacing w:after="40"/>
            </w:pPr>
            <w:r/>
            <w:r>
              <w:rPr>
                <w:rFonts w:ascii="Arial" w:hAnsi="Arial"/>
                <w:b w:val="0"/>
                <w:sz w:val="16"/>
              </w:rPr>
              <w:t>Missing/lost POD</w:t>
            </w:r>
          </w:p>
        </w:tc>
        <w:tc>
          <w:tcPr>
            <w:tcW w:type="dxa" w:w="1440"/>
            <w:vAlign w:val="center"/>
          </w:tcPr>
          <w:p>
            <w:pPr>
              <w:spacing w:after="40"/>
            </w:pPr>
            <w:r/>
            <w:r>
              <w:rPr>
                <w:rFonts w:ascii="Arial" w:hAnsi="Arial"/>
                <w:b w:val="0"/>
                <w:sz w:val="16"/>
              </w:rPr>
              <w:t>8</w:t>
            </w:r>
          </w:p>
        </w:tc>
        <w:tc>
          <w:tcPr>
            <w:tcW w:type="dxa" w:w="1440"/>
            <w:vAlign w:val="center"/>
          </w:tcPr>
          <w:p>
            <w:pPr>
              <w:spacing w:after="40"/>
            </w:pPr>
            <w:r/>
            <w:r>
              <w:rPr>
                <w:rFonts w:ascii="Arial" w:hAnsi="Arial"/>
                <w:b w:val="0"/>
                <w:sz w:val="16"/>
              </w:rPr>
              <w:t>10</w:t>
            </w:r>
          </w:p>
        </w:tc>
        <w:tc>
          <w:tcPr>
            <w:tcW w:type="dxa" w:w="1440"/>
            <w:vAlign w:val="center"/>
          </w:tcPr>
          <w:p>
            <w:pPr>
              <w:spacing w:after="40"/>
            </w:pPr>
            <w:r/>
            <w:r>
              <w:rPr>
                <w:rFonts w:ascii="Arial" w:hAnsi="Arial"/>
                <w:b w:val="0"/>
                <w:sz w:val="16"/>
              </w:rPr>
              <w:t>8</w:t>
            </w:r>
          </w:p>
        </w:tc>
        <w:tc>
          <w:tcPr>
            <w:tcW w:type="dxa" w:w="1440"/>
            <w:vAlign w:val="center"/>
          </w:tcPr>
          <w:p>
            <w:pPr>
              <w:spacing w:after="40"/>
            </w:pPr>
            <w:r/>
            <w:r>
              <w:rPr>
                <w:rFonts w:ascii="Arial" w:hAnsi="Arial"/>
                <w:b w:val="0"/>
                <w:sz w:val="16"/>
              </w:rPr>
              <w:t>6</w:t>
            </w:r>
          </w:p>
        </w:tc>
        <w:tc>
          <w:tcPr>
            <w:tcW w:type="dxa" w:w="1440"/>
            <w:vAlign w:val="center"/>
          </w:tcPr>
          <w:p>
            <w:pPr>
              <w:spacing w:after="40"/>
            </w:pPr>
            <w:r/>
            <w:r>
              <w:rPr>
                <w:rFonts w:ascii="Arial" w:hAnsi="Arial"/>
                <w:b w:val="0"/>
                <w:sz w:val="16"/>
              </w:rPr>
              <w:t>8</w:t>
            </w:r>
          </w:p>
        </w:tc>
        <w:tc>
          <w:tcPr>
            <w:tcW w:type="dxa" w:w="1440"/>
            <w:vAlign w:val="center"/>
          </w:tcPr>
          <w:p>
            <w:pPr>
              <w:spacing w:after="40"/>
            </w:pPr>
            <w:r/>
            <w:r>
              <w:rPr>
                <w:rFonts w:ascii="Arial" w:hAnsi="Arial"/>
                <w:b w:val="0"/>
                <w:sz w:val="16"/>
              </w:rPr>
              <w:t>40 / Rank 3</w:t>
            </w:r>
          </w:p>
        </w:tc>
      </w:tr>
      <w:tr>
        <w:tc>
          <w:tcPr>
            <w:tcW w:type="dxa" w:w="1440"/>
            <w:vAlign w:val="center"/>
          </w:tcPr>
          <w:p>
            <w:pPr>
              <w:spacing w:after="40"/>
            </w:pPr>
            <w:r/>
            <w:r>
              <w:rPr>
                <w:rFonts w:ascii="Arial" w:hAnsi="Arial"/>
                <w:b w:val="0"/>
                <w:sz w:val="16"/>
              </w:rPr>
              <w:t>Income generation and revenue flow</w:t>
            </w:r>
          </w:p>
        </w:tc>
        <w:tc>
          <w:tcPr>
            <w:tcW w:type="dxa" w:w="1440"/>
            <w:vAlign w:val="center"/>
          </w:tcPr>
          <w:p>
            <w:pPr>
              <w:spacing w:after="40"/>
            </w:pPr>
            <w:r/>
            <w:r>
              <w:rPr>
                <w:rFonts w:ascii="Arial" w:hAnsi="Arial"/>
                <w:b w:val="0"/>
                <w:sz w:val="16"/>
              </w:rPr>
              <w:t>10</w:t>
            </w:r>
          </w:p>
        </w:tc>
        <w:tc>
          <w:tcPr>
            <w:tcW w:type="dxa" w:w="1440"/>
            <w:vAlign w:val="center"/>
          </w:tcPr>
          <w:p>
            <w:pPr>
              <w:spacing w:after="40"/>
            </w:pPr>
            <w:r/>
            <w:r>
              <w:rPr>
                <w:rFonts w:ascii="Arial" w:hAnsi="Arial"/>
                <w:b w:val="0"/>
                <w:sz w:val="16"/>
              </w:rPr>
              <w:t>10</w:t>
            </w:r>
          </w:p>
        </w:tc>
        <w:tc>
          <w:tcPr>
            <w:tcW w:type="dxa" w:w="1440"/>
            <w:vAlign w:val="center"/>
          </w:tcPr>
          <w:p>
            <w:pPr>
              <w:spacing w:after="40"/>
            </w:pPr>
            <w:r/>
            <w:r>
              <w:rPr>
                <w:rFonts w:ascii="Arial" w:hAnsi="Arial"/>
                <w:b w:val="0"/>
                <w:sz w:val="16"/>
              </w:rPr>
              <w:t>6</w:t>
            </w:r>
          </w:p>
        </w:tc>
        <w:tc>
          <w:tcPr>
            <w:tcW w:type="dxa" w:w="1440"/>
            <w:vAlign w:val="center"/>
          </w:tcPr>
          <w:p>
            <w:pPr>
              <w:spacing w:after="40"/>
            </w:pPr>
            <w:r/>
            <w:r>
              <w:rPr>
                <w:rFonts w:ascii="Arial" w:hAnsi="Arial"/>
                <w:b w:val="0"/>
                <w:sz w:val="16"/>
              </w:rPr>
              <w:t>5</w:t>
            </w:r>
          </w:p>
        </w:tc>
        <w:tc>
          <w:tcPr>
            <w:tcW w:type="dxa" w:w="1440"/>
            <w:vAlign w:val="center"/>
          </w:tcPr>
          <w:p>
            <w:pPr>
              <w:spacing w:after="40"/>
            </w:pPr>
            <w:r/>
            <w:r>
              <w:rPr>
                <w:rFonts w:ascii="Arial" w:hAnsi="Arial"/>
                <w:b w:val="0"/>
                <w:sz w:val="16"/>
              </w:rPr>
              <w:t>5</w:t>
            </w:r>
          </w:p>
        </w:tc>
        <w:tc>
          <w:tcPr>
            <w:tcW w:type="dxa" w:w="1440"/>
            <w:vAlign w:val="center"/>
          </w:tcPr>
          <w:p>
            <w:pPr>
              <w:spacing w:after="40"/>
            </w:pPr>
            <w:r/>
            <w:r>
              <w:rPr>
                <w:rFonts w:ascii="Arial" w:hAnsi="Arial"/>
                <w:b w:val="0"/>
                <w:sz w:val="16"/>
              </w:rPr>
              <w:t>36 / Rank 4</w:t>
            </w:r>
          </w:p>
        </w:tc>
      </w:tr>
    </w:tbl>
    <w:p/>
    <w:p>
      <w:pPr>
        <w:pStyle w:val="Heading1"/>
      </w:pPr>
      <w:r>
        <w:t>V. RouteX Response to the Prioritized Problem</w:t>
      </w:r>
    </w:p>
    <w:p>
      <w:r>
        <w:t>RouteX directly addresses fragmented operational and financial records by providing one internal web application for completed-delivery entry, truck and crew associations, POD retrieval, delivery financial calculations, separate company expense records, HR compensation summaries, global search, and reports. It does not directly prevent truck failures, accidents, fuel-price changes, or collection delays. It can improve access to recorded information used for analysis, but it should not be described as live fleet monitoring or an automated solution to those external risks.</w:t>
      </w:r>
    </w:p>
    <w:p>
      <w:pPr>
        <w:pStyle w:val="Heading1"/>
      </w:pPr>
      <w:r>
        <w:t>VI. Scope Alignment Notes</w:t>
      </w:r>
    </w:p>
    <w:p>
      <w:pPr>
        <w:pStyle w:val="ListBullet"/>
      </w:pPr>
      <w:r>
        <w:t>Replace claims that RouteX itself provides real-time delivery monitoring with the accurate statement that it stores and retrieves staff-entered records after delivery completion.</w:t>
      </w:r>
    </w:p>
    <w:p>
      <w:pPr>
        <w:pStyle w:val="ListBullet"/>
      </w:pPr>
      <w:r>
        <w:t>Keep GPS deployment, live tracking, air/sea freight integration, and government reporting automation as external opportunities or future ideas, not current RouteX scope.</w:t>
      </w:r>
    </w:p>
    <w:p>
      <w:pPr>
        <w:pStyle w:val="ListBullet"/>
      </w:pPr>
      <w:r>
        <w:t>Treat POD completeness as a record/documentation function, not proof that a delivery event is independently verified.</w:t>
      </w:r>
    </w:p>
    <w:p>
      <w:pPr>
        <w:pStyle w:val="ListBullet"/>
      </w:pPr>
      <w:r>
        <w:t>Keep delivery-level costs separate from non-delivery company expenses and HR compensation summaries to prevent double counting.</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RouteX | SWOT Analysis | Working document, confirm all TBD items with the client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5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