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CAVITE STATE UNIVERSITY</w:t>
        <w:br/>
      </w:r>
      <w:r>
        <w:rPr>
          <w:sz w:val="18"/>
        </w:rPr>
        <w:t>College of Engineering and Information Technology</w:t>
        <w:br/>
        <w:t>Don Severino delas Alas Campus, Indang, Cavite</w:t>
      </w:r>
    </w:p>
    <w:p>
      <w:pPr>
        <w:jc w:val="center"/>
      </w:pPr>
      <w:r>
        <w:rPr>
          <w:b/>
          <w:color w:val="18324A"/>
          <w:sz w:val="42"/>
        </w:rPr>
        <w:t>RouteX Project Technical Documentation</w:t>
      </w:r>
    </w:p>
    <w:p>
      <w:pPr>
        <w:jc w:val="center"/>
      </w:pPr>
      <w:r>
        <w:rPr>
          <w:i/>
          <w:sz w:val="22"/>
        </w:rPr>
        <w:t>System Overview, Departments, Modules, and Platform</w:t>
      </w:r>
    </w:p>
    <w:p>
      <w:pPr>
        <w:jc w:val="center"/>
      </w:pPr>
      <w:r>
        <w:t>Prepared for Redeemed Route Logistics Inc.</w:t>
      </w:r>
    </w:p>
    <w:p>
      <w:pPr>
        <w:jc w:val="center"/>
      </w:pPr>
      <w:r>
        <w:t>Updated: October 2026 | Revised to reflect the latest confirmed client workflow and RouteX scope</w:t>
      </w:r>
    </w:p>
    <w:p>
      <w:r>
        <w:br w:type="page"/>
      </w:r>
    </w:p>
    <w:p>
      <w:pPr>
        <w:pStyle w:val="Heading1"/>
      </w:pPr>
      <w:r>
        <w:t>1. Company and Project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0"/>
          </w:tcPr>
          <w:p>
            <w:pPr>
              <w:spacing w:after="40"/>
            </w:pPr>
            <w:r/>
            <w:r>
              <w:rPr>
                <w:rFonts w:ascii="Arial" w:hAnsi="Arial"/>
                <w:b/>
                <w:sz w:val="18"/>
              </w:rPr>
              <w:t>Item</w:t>
            </w:r>
          </w:p>
        </w:tc>
        <w:tc>
          <w:tcPr>
            <w:tcW w:type="dxa" w:w="5040"/>
            <w:vAlign w:val="center"/>
            <w:shd w:fill="D9E7F0"/>
          </w:tcPr>
          <w:p>
            <w:pPr>
              <w:spacing w:after="40"/>
            </w:pPr>
            <w:r/>
            <w:r>
              <w:rPr>
                <w:rFonts w:ascii="Arial" w:hAnsi="Arial"/>
                <w:b/>
                <w:sz w:val="18"/>
              </w:rPr>
              <w:t>Details</w:t>
            </w:r>
          </w:p>
        </w:tc>
      </w:tr>
      <w:tr>
        <w:tc>
          <w:tcPr>
            <w:tcW w:type="dxa" w:w="5040"/>
            <w:vAlign w:val="center"/>
          </w:tcPr>
          <w:p>
            <w:pPr>
              <w:spacing w:after="40"/>
            </w:pPr>
            <w:r/>
            <w:r>
              <w:rPr>
                <w:rFonts w:ascii="Arial" w:hAnsi="Arial"/>
                <w:b w:val="0"/>
                <w:sz w:val="16"/>
              </w:rPr>
              <w:t>Company</w:t>
            </w:r>
          </w:p>
        </w:tc>
        <w:tc>
          <w:tcPr>
            <w:tcW w:type="dxa" w:w="5040"/>
            <w:vAlign w:val="center"/>
          </w:tcPr>
          <w:p>
            <w:pPr>
              <w:spacing w:after="40"/>
            </w:pPr>
            <w:r/>
            <w:r>
              <w:rPr>
                <w:rFonts w:ascii="Arial" w:hAnsi="Arial"/>
                <w:b w:val="0"/>
                <w:sz w:val="16"/>
              </w:rPr>
              <w:t>Redeemed Route Logistics Inc.</w:t>
            </w:r>
          </w:p>
        </w:tc>
      </w:tr>
      <w:tr>
        <w:tc>
          <w:tcPr>
            <w:tcW w:type="dxa" w:w="5040"/>
            <w:vAlign w:val="center"/>
          </w:tcPr>
          <w:p>
            <w:pPr>
              <w:spacing w:after="40"/>
            </w:pPr>
            <w:r/>
            <w:r>
              <w:rPr>
                <w:rFonts w:ascii="Arial" w:hAnsi="Arial"/>
                <w:b w:val="0"/>
                <w:sz w:val="16"/>
              </w:rPr>
              <w:t>Business</w:t>
            </w:r>
          </w:p>
        </w:tc>
        <w:tc>
          <w:tcPr>
            <w:tcW w:type="dxa" w:w="5040"/>
            <w:vAlign w:val="center"/>
          </w:tcPr>
          <w:p>
            <w:pPr>
              <w:spacing w:after="40"/>
            </w:pPr>
            <w:r/>
            <w:r>
              <w:rPr>
                <w:rFonts w:ascii="Arial" w:hAnsi="Arial"/>
                <w:b w:val="0"/>
                <w:sz w:val="16"/>
              </w:rPr>
              <w:t>Trucking, cargo delivery, truck booking, freight transportation, delivery scheduling, route coordination, and dispatching.</w:t>
            </w:r>
          </w:p>
        </w:tc>
      </w:tr>
      <w:tr>
        <w:tc>
          <w:tcPr>
            <w:tcW w:type="dxa" w:w="5040"/>
            <w:vAlign w:val="center"/>
          </w:tcPr>
          <w:p>
            <w:pPr>
              <w:spacing w:after="40"/>
            </w:pPr>
            <w:r/>
            <w:r>
              <w:rPr>
                <w:rFonts w:ascii="Arial" w:hAnsi="Arial"/>
                <w:b w:val="0"/>
                <w:sz w:val="16"/>
              </w:rPr>
              <w:t>System</w:t>
            </w:r>
          </w:p>
        </w:tc>
        <w:tc>
          <w:tcPr>
            <w:tcW w:type="dxa" w:w="5040"/>
            <w:vAlign w:val="center"/>
          </w:tcPr>
          <w:p>
            <w:pPr>
              <w:spacing w:after="40"/>
            </w:pPr>
            <w:r/>
            <w:r>
              <w:rPr>
                <w:rFonts w:ascii="Arial" w:hAnsi="Arial"/>
                <w:b w:val="0"/>
                <w:sz w:val="16"/>
              </w:rPr>
              <w:t>RouteX: A Truck Profitability and Delivery Operations Management System.</w:t>
            </w:r>
          </w:p>
        </w:tc>
      </w:tr>
      <w:tr>
        <w:tc>
          <w:tcPr>
            <w:tcW w:type="dxa" w:w="5040"/>
            <w:vAlign w:val="center"/>
          </w:tcPr>
          <w:p>
            <w:pPr>
              <w:spacing w:after="40"/>
            </w:pPr>
            <w:r/>
            <w:r>
              <w:rPr>
                <w:rFonts w:ascii="Arial" w:hAnsi="Arial"/>
                <w:b w:val="0"/>
                <w:sz w:val="16"/>
              </w:rPr>
              <w:t>System type</w:t>
            </w:r>
          </w:p>
        </w:tc>
        <w:tc>
          <w:tcPr>
            <w:tcW w:type="dxa" w:w="5040"/>
            <w:vAlign w:val="center"/>
          </w:tcPr>
          <w:p>
            <w:pPr>
              <w:spacing w:after="40"/>
            </w:pPr>
            <w:r/>
            <w:r>
              <w:rPr>
                <w:rFonts w:ascii="Arial" w:hAnsi="Arial"/>
                <w:b w:val="0"/>
                <w:sz w:val="16"/>
              </w:rPr>
              <w:t>Partially automated, internal web application.</w:t>
            </w:r>
          </w:p>
        </w:tc>
      </w:tr>
      <w:tr>
        <w:tc>
          <w:tcPr>
            <w:tcW w:type="dxa" w:w="5040"/>
            <w:vAlign w:val="center"/>
          </w:tcPr>
          <w:p>
            <w:pPr>
              <w:spacing w:after="40"/>
            </w:pPr>
            <w:r/>
            <w:r>
              <w:rPr>
                <w:rFonts w:ascii="Arial" w:hAnsi="Arial"/>
                <w:b w:val="0"/>
                <w:sz w:val="16"/>
              </w:rPr>
              <w:t>Primary purpose</w:t>
            </w:r>
          </w:p>
        </w:tc>
        <w:tc>
          <w:tcPr>
            <w:tcW w:type="dxa" w:w="5040"/>
            <w:vAlign w:val="center"/>
          </w:tcPr>
          <w:p>
            <w:pPr>
              <w:spacing w:after="40"/>
            </w:pPr>
            <w:r/>
            <w:r>
              <w:rPr>
                <w:rFonts w:ascii="Arial" w:hAnsi="Arial"/>
                <w:b w:val="0"/>
                <w:sz w:val="16"/>
              </w:rPr>
              <w:t>Centralize completed-delivery and financial records so authorized personnel can retrieve information and review truck, delivery, and company profitability.</w:t>
            </w:r>
          </w:p>
        </w:tc>
      </w:tr>
    </w:tbl>
    <w:p/>
    <w:p>
      <w:pPr>
        <w:pStyle w:val="Heading1"/>
      </w:pPr>
      <w:r>
        <w:t>2. Nature of the Proposed System</w:t>
      </w:r>
    </w:p>
    <w:p>
      <w:r>
        <w:t>The current business process relies on spreadsheets, paper records, basic bookkeeping, and communication channels. RouteX is proposed as a centralized system for record entry, retrieval, controlled updates, calculation, document access, and reporting. It is not an integrated replacement for every existing company system because the client has not identified a formal operational/accounting system to integrate with.</w:t>
      </w:r>
    </w:p>
    <w:p>
      <w:r>
        <w:t>Important workflow clarification: Operations enters a delivery transaction after the actual delivery has been completed. The system supports historical record management and profitability review; it does not claim automatic live tracking or live GPS monitoring.</w:t>
      </w:r>
    </w:p>
    <w:p>
      <w:pPr>
        <w:pStyle w:val="Heading1"/>
      </w:pPr>
      <w:r>
        <w:t>3. Departments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7F0"/>
          </w:tcPr>
          <w:p>
            <w:pPr>
              <w:spacing w:after="40"/>
            </w:pPr>
            <w:r/>
            <w:r>
              <w:rPr>
                <w:rFonts w:ascii="Arial" w:hAnsi="Arial"/>
                <w:b/>
                <w:sz w:val="18"/>
              </w:rPr>
              <w:t>Department / user</w:t>
            </w:r>
          </w:p>
        </w:tc>
        <w:tc>
          <w:tcPr>
            <w:tcW w:type="dxa" w:w="3360"/>
            <w:vAlign w:val="center"/>
            <w:shd w:fill="D9E7F0"/>
          </w:tcPr>
          <w:p>
            <w:pPr>
              <w:spacing w:after="40"/>
            </w:pPr>
            <w:r/>
            <w:r>
              <w:rPr>
                <w:rFonts w:ascii="Arial" w:hAnsi="Arial"/>
                <w:b/>
                <w:sz w:val="18"/>
              </w:rPr>
              <w:t>RouteX responsibility</w:t>
            </w:r>
          </w:p>
        </w:tc>
        <w:tc>
          <w:tcPr>
            <w:tcW w:type="dxa" w:w="3360"/>
            <w:vAlign w:val="center"/>
            <w:shd w:fill="D9E7F0"/>
          </w:tcPr>
          <w:p>
            <w:pPr>
              <w:spacing w:after="40"/>
            </w:pPr>
            <w:r/>
            <w:r>
              <w:rPr>
                <w:rFonts w:ascii="Arial" w:hAnsi="Arial"/>
                <w:b/>
                <w:sz w:val="18"/>
              </w:rPr>
              <w:t>Boundary</w:t>
            </w:r>
          </w:p>
        </w:tc>
      </w:tr>
      <w:tr>
        <w:tc>
          <w:tcPr>
            <w:tcW w:type="dxa" w:w="3360"/>
            <w:vAlign w:val="center"/>
          </w:tcPr>
          <w:p>
            <w:pPr>
              <w:spacing w:after="40"/>
            </w:pPr>
            <w:r/>
            <w:r>
              <w:rPr>
                <w:rFonts w:ascii="Arial" w:hAnsi="Arial"/>
                <w:b w:val="0"/>
                <w:sz w:val="16"/>
              </w:rPr>
              <w:t>Operations</w:t>
            </w:r>
          </w:p>
        </w:tc>
        <w:tc>
          <w:tcPr>
            <w:tcW w:type="dxa" w:w="3360"/>
            <w:vAlign w:val="center"/>
          </w:tcPr>
          <w:p>
            <w:pPr>
              <w:spacing w:after="40"/>
            </w:pPr>
            <w:r/>
            <w:r>
              <w:rPr>
                <w:rFonts w:ascii="Arial" w:hAnsi="Arial"/>
                <w:b w:val="0"/>
                <w:sz w:val="16"/>
              </w:rPr>
              <w:t>Record completed delivery transactions, delivery details and timing, client/truck/driver/helper assignments, revenue and delivery-attributable costs, and POD.</w:t>
            </w:r>
          </w:p>
        </w:tc>
        <w:tc>
          <w:tcPr>
            <w:tcW w:type="dxa" w:w="3360"/>
            <w:vAlign w:val="center"/>
          </w:tcPr>
          <w:p>
            <w:pPr>
              <w:spacing w:after="40"/>
            </w:pPr>
            <w:r/>
            <w:r>
              <w:rPr>
                <w:rFonts w:ascii="Arial" w:hAnsi="Arial"/>
                <w:b w:val="0"/>
                <w:sz w:val="16"/>
              </w:rPr>
              <w:t>Do not describe the system as live dispatch/GPS. Entered records depend on staff input.</w:t>
            </w:r>
          </w:p>
        </w:tc>
      </w:tr>
      <w:tr>
        <w:tc>
          <w:tcPr>
            <w:tcW w:type="dxa" w:w="3360"/>
            <w:vAlign w:val="center"/>
          </w:tcPr>
          <w:p>
            <w:pPr>
              <w:spacing w:after="40"/>
            </w:pPr>
            <w:r/>
            <w:r>
              <w:rPr>
                <w:rFonts w:ascii="Arial" w:hAnsi="Arial"/>
                <w:b w:val="0"/>
                <w:sz w:val="16"/>
              </w:rPr>
              <w:t>Finance</w:t>
            </w:r>
          </w:p>
        </w:tc>
        <w:tc>
          <w:tcPr>
            <w:tcW w:type="dxa" w:w="3360"/>
            <w:vAlign w:val="center"/>
          </w:tcPr>
          <w:p>
            <w:pPr>
              <w:spacing w:after="40"/>
            </w:pPr>
            <w:r/>
            <w:r>
              <w:rPr>
                <w:rFonts w:ascii="Arial" w:hAnsi="Arial"/>
                <w:b w:val="0"/>
                <w:sz w:val="16"/>
              </w:rPr>
              <w:t>Record and review company expenses that are not directly tied to a specific delivery.</w:t>
            </w:r>
          </w:p>
        </w:tc>
        <w:tc>
          <w:tcPr>
            <w:tcW w:type="dxa" w:w="3360"/>
            <w:vAlign w:val="center"/>
          </w:tcPr>
          <w:p>
            <w:pPr>
              <w:spacing w:after="40"/>
            </w:pPr>
            <w:r/>
            <w:r>
              <w:rPr>
                <w:rFonts w:ascii="Arial" w:hAnsi="Arial"/>
                <w:b w:val="0"/>
                <w:sz w:val="16"/>
              </w:rPr>
              <w:t>Do not automatically assign all delivery costs or HR compensation to Finance.</w:t>
            </w:r>
          </w:p>
        </w:tc>
      </w:tr>
      <w:tr>
        <w:tc>
          <w:tcPr>
            <w:tcW w:type="dxa" w:w="3360"/>
            <w:vAlign w:val="center"/>
          </w:tcPr>
          <w:p>
            <w:pPr>
              <w:spacing w:after="40"/>
            </w:pPr>
            <w:r/>
            <w:r>
              <w:rPr>
                <w:rFonts w:ascii="Arial" w:hAnsi="Arial"/>
                <w:b w:val="0"/>
                <w:sz w:val="16"/>
              </w:rPr>
              <w:t>HR</w:t>
            </w:r>
          </w:p>
        </w:tc>
        <w:tc>
          <w:tcPr>
            <w:tcW w:type="dxa" w:w="3360"/>
            <w:vAlign w:val="center"/>
          </w:tcPr>
          <w:p>
            <w:pPr>
              <w:spacing w:after="40"/>
            </w:pPr>
            <w:r/>
            <w:r>
              <w:rPr>
                <w:rFonts w:ascii="Arial" w:hAnsi="Arial"/>
                <w:b w:val="0"/>
                <w:sz w:val="16"/>
              </w:rPr>
              <w:t>Record or summarize amounts payable to staff, drivers, and helpers for management review.</w:t>
            </w:r>
          </w:p>
        </w:tc>
        <w:tc>
          <w:tcPr>
            <w:tcW w:type="dxa" w:w="3360"/>
            <w:vAlign w:val="center"/>
          </w:tcPr>
          <w:p>
            <w:pPr>
              <w:spacing w:after="40"/>
            </w:pPr>
            <w:r/>
            <w:r>
              <w:rPr>
                <w:rFonts w:ascii="Arial" w:hAnsi="Arial"/>
                <w:b w:val="0"/>
                <w:sz w:val="16"/>
              </w:rPr>
              <w:t>This is not confirmed as a full payroll engine; attendance, deductions, statutory calculations, payslips, and tax processing are TBD unless approved.</w:t>
            </w:r>
          </w:p>
        </w:tc>
      </w:tr>
      <w:tr>
        <w:tc>
          <w:tcPr>
            <w:tcW w:type="dxa" w:w="3360"/>
            <w:vAlign w:val="center"/>
          </w:tcPr>
          <w:p>
            <w:pPr>
              <w:spacing w:after="40"/>
            </w:pPr>
            <w:r/>
            <w:r>
              <w:rPr>
                <w:rFonts w:ascii="Arial" w:hAnsi="Arial"/>
                <w:b w:val="0"/>
                <w:sz w:val="16"/>
              </w:rPr>
              <w:t>President / Management</w:t>
            </w:r>
          </w:p>
        </w:tc>
        <w:tc>
          <w:tcPr>
            <w:tcW w:type="dxa" w:w="3360"/>
            <w:vAlign w:val="center"/>
          </w:tcPr>
          <w:p>
            <w:pPr>
              <w:spacing w:after="40"/>
            </w:pPr>
            <w:r/>
            <w:r>
              <w:rPr>
                <w:rFonts w:ascii="Arial" w:hAnsi="Arial"/>
                <w:b w:val="0"/>
                <w:sz w:val="16"/>
              </w:rPr>
              <w:t>Review delivery and truck earnings, compensation summaries, company operating expenses, and overall company performance.</w:t>
            </w:r>
          </w:p>
        </w:tc>
        <w:tc>
          <w:tcPr>
            <w:tcW w:type="dxa" w:w="3360"/>
            <w:vAlign w:val="center"/>
          </w:tcPr>
          <w:p>
            <w:pPr>
              <w:spacing w:after="40"/>
            </w:pPr>
            <w:r/>
            <w:r>
              <w:rPr>
                <w:rFonts w:ascii="Arial" w:hAnsi="Arial"/>
                <w:b w:val="0"/>
                <w:sz w:val="16"/>
              </w:rPr>
              <w:t>Truck/delivery profitability and company-level results must remain distinct.</w:t>
            </w:r>
          </w:p>
        </w:tc>
      </w:tr>
      <w:tr>
        <w:tc>
          <w:tcPr>
            <w:tcW w:type="dxa" w:w="3360"/>
            <w:vAlign w:val="center"/>
          </w:tcPr>
          <w:p>
            <w:pPr>
              <w:spacing w:after="40"/>
            </w:pPr>
            <w:r/>
            <w:r>
              <w:rPr>
                <w:rFonts w:ascii="Arial" w:hAnsi="Arial"/>
                <w:b w:val="0"/>
                <w:sz w:val="16"/>
              </w:rPr>
              <w:t>System administrator</w:t>
            </w:r>
          </w:p>
        </w:tc>
        <w:tc>
          <w:tcPr>
            <w:tcW w:type="dxa" w:w="3360"/>
            <w:vAlign w:val="center"/>
          </w:tcPr>
          <w:p>
            <w:pPr>
              <w:spacing w:after="40"/>
            </w:pPr>
            <w:r/>
            <w:r>
              <w:rPr>
                <w:rFonts w:ascii="Arial" w:hAnsi="Arial"/>
                <w:b w:val="0"/>
                <w:sz w:val="16"/>
              </w:rPr>
              <w:t>Manage approved user accounts, access roles, and system configuration; review activity/audit history.</w:t>
            </w:r>
          </w:p>
        </w:tc>
        <w:tc>
          <w:tcPr>
            <w:tcW w:type="dxa" w:w="3360"/>
            <w:vAlign w:val="center"/>
          </w:tcPr>
          <w:p>
            <w:pPr>
              <w:spacing w:after="40"/>
            </w:pPr>
            <w:r/>
            <w:r>
              <w:rPr>
                <w:rFonts w:ascii="Arial" w:hAnsi="Arial"/>
                <w:b w:val="0"/>
                <w:sz w:val="16"/>
              </w:rPr>
              <w:t>Final admin assignment and permissions require approval.</w:t>
            </w:r>
          </w:p>
        </w:tc>
      </w:tr>
    </w:tbl>
    <w:p/>
    <w:p>
      <w:r>
        <w:t>The company organization chart in the older file should be updated only after the client confirms current reporting lines and job titles. The system role map above describes proposed access responsibilities, not a definitive organizational hierarchy.</w:t>
      </w:r>
    </w:p>
    <w:p>
      <w:pPr>
        <w:pStyle w:val="Heading1"/>
      </w:pPr>
      <w:r>
        <w:t>4. System Context and Data Flow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7F0"/>
          </w:tcPr>
          <w:p>
            <w:pPr>
              <w:spacing w:after="40"/>
            </w:pPr>
            <w:r/>
            <w:r>
              <w:rPr>
                <w:rFonts w:ascii="Arial" w:hAnsi="Arial"/>
                <w:b/>
                <w:sz w:val="18"/>
              </w:rPr>
              <w:t>Source / actor</w:t>
            </w:r>
          </w:p>
        </w:tc>
        <w:tc>
          <w:tcPr>
            <w:tcW w:type="dxa" w:w="2520"/>
            <w:vAlign w:val="center"/>
            <w:shd w:fill="D9E7F0"/>
          </w:tcPr>
          <w:p>
            <w:pPr>
              <w:spacing w:after="40"/>
            </w:pPr>
            <w:r/>
            <w:r>
              <w:rPr>
                <w:rFonts w:ascii="Arial" w:hAnsi="Arial"/>
                <w:b/>
                <w:sz w:val="18"/>
              </w:rPr>
              <w:t>Information entered</w:t>
            </w:r>
          </w:p>
        </w:tc>
        <w:tc>
          <w:tcPr>
            <w:tcW w:type="dxa" w:w="2520"/>
            <w:vAlign w:val="center"/>
            <w:shd w:fill="D9E7F0"/>
          </w:tcPr>
          <w:p>
            <w:pPr>
              <w:spacing w:after="40"/>
            </w:pPr>
            <w:r/>
            <w:r>
              <w:rPr>
                <w:rFonts w:ascii="Arial" w:hAnsi="Arial"/>
                <w:b/>
                <w:sz w:val="18"/>
              </w:rPr>
              <w:t>RouteX processing</w:t>
            </w:r>
          </w:p>
        </w:tc>
        <w:tc>
          <w:tcPr>
            <w:tcW w:type="dxa" w:w="2520"/>
            <w:vAlign w:val="center"/>
            <w:shd w:fill="D9E7F0"/>
          </w:tcPr>
          <w:p>
            <w:pPr>
              <w:spacing w:after="40"/>
            </w:pPr>
            <w:r/>
            <w:r>
              <w:rPr>
                <w:rFonts w:ascii="Arial" w:hAnsi="Arial"/>
                <w:b/>
                <w:sz w:val="18"/>
              </w:rPr>
              <w:t>Result / consumer</w:t>
            </w:r>
          </w:p>
        </w:tc>
      </w:tr>
      <w:tr>
        <w:tc>
          <w:tcPr>
            <w:tcW w:type="dxa" w:w="2520"/>
            <w:vAlign w:val="center"/>
          </w:tcPr>
          <w:p>
            <w:pPr>
              <w:spacing w:after="40"/>
            </w:pPr>
            <w:r/>
            <w:r>
              <w:rPr>
                <w:rFonts w:ascii="Arial" w:hAnsi="Arial"/>
                <w:b w:val="0"/>
                <w:sz w:val="16"/>
              </w:rPr>
              <w:t>Operations</w:t>
            </w:r>
          </w:p>
        </w:tc>
        <w:tc>
          <w:tcPr>
            <w:tcW w:type="dxa" w:w="2520"/>
            <w:vAlign w:val="center"/>
          </w:tcPr>
          <w:p>
            <w:pPr>
              <w:spacing w:after="40"/>
            </w:pPr>
            <w:r/>
            <w:r>
              <w:rPr>
                <w:rFonts w:ascii="Arial" w:hAnsi="Arial"/>
                <w:b w:val="0"/>
                <w:sz w:val="16"/>
              </w:rPr>
              <w:t>Completed delivery details, assignments, timings, revenue, delivery costs, POD</w:t>
            </w:r>
          </w:p>
        </w:tc>
        <w:tc>
          <w:tcPr>
            <w:tcW w:type="dxa" w:w="2520"/>
            <w:vAlign w:val="center"/>
          </w:tcPr>
          <w:p>
            <w:pPr>
              <w:spacing w:after="40"/>
            </w:pPr>
            <w:r/>
            <w:r>
              <w:rPr>
                <w:rFonts w:ascii="Arial" w:hAnsi="Arial"/>
                <w:b w:val="0"/>
                <w:sz w:val="16"/>
              </w:rPr>
              <w:t>Validate and store; compute approved delivery-level metrics</w:t>
            </w:r>
          </w:p>
        </w:tc>
        <w:tc>
          <w:tcPr>
            <w:tcW w:type="dxa" w:w="2520"/>
            <w:vAlign w:val="center"/>
          </w:tcPr>
          <w:p>
            <w:pPr>
              <w:spacing w:after="40"/>
            </w:pPr>
            <w:r/>
            <w:r>
              <w:rPr>
                <w:rFonts w:ascii="Arial" w:hAnsi="Arial"/>
                <w:b w:val="0"/>
                <w:sz w:val="16"/>
              </w:rPr>
              <w:t>Delivery history, truck profile, delivery reports, President</w:t>
            </w:r>
          </w:p>
        </w:tc>
      </w:tr>
      <w:tr>
        <w:tc>
          <w:tcPr>
            <w:tcW w:type="dxa" w:w="2520"/>
            <w:vAlign w:val="center"/>
          </w:tcPr>
          <w:p>
            <w:pPr>
              <w:spacing w:after="40"/>
            </w:pPr>
            <w:r/>
            <w:r>
              <w:rPr>
                <w:rFonts w:ascii="Arial" w:hAnsi="Arial"/>
                <w:b w:val="0"/>
                <w:sz w:val="16"/>
              </w:rPr>
              <w:t>Finance</w:t>
            </w:r>
          </w:p>
        </w:tc>
        <w:tc>
          <w:tcPr>
            <w:tcW w:type="dxa" w:w="2520"/>
            <w:vAlign w:val="center"/>
          </w:tcPr>
          <w:p>
            <w:pPr>
              <w:spacing w:after="40"/>
            </w:pPr>
            <w:r/>
            <w:r>
              <w:rPr>
                <w:rFonts w:ascii="Arial" w:hAnsi="Arial"/>
                <w:b w:val="0"/>
                <w:sz w:val="16"/>
              </w:rPr>
              <w:t>Non-delivery company expenses and supporting information</w:t>
            </w:r>
          </w:p>
        </w:tc>
        <w:tc>
          <w:tcPr>
            <w:tcW w:type="dxa" w:w="2520"/>
            <w:vAlign w:val="center"/>
          </w:tcPr>
          <w:p>
            <w:pPr>
              <w:spacing w:after="40"/>
            </w:pPr>
            <w:r/>
            <w:r>
              <w:rPr>
                <w:rFonts w:ascii="Arial" w:hAnsi="Arial"/>
                <w:b w:val="0"/>
                <w:sz w:val="16"/>
              </w:rPr>
              <w:t>Validate and store separately from delivery costs</w:t>
            </w:r>
          </w:p>
        </w:tc>
        <w:tc>
          <w:tcPr>
            <w:tcW w:type="dxa" w:w="2520"/>
            <w:vAlign w:val="center"/>
          </w:tcPr>
          <w:p>
            <w:pPr>
              <w:spacing w:after="40"/>
            </w:pPr>
            <w:r/>
            <w:r>
              <w:rPr>
                <w:rFonts w:ascii="Arial" w:hAnsi="Arial"/>
                <w:b w:val="0"/>
                <w:sz w:val="16"/>
              </w:rPr>
              <w:t>Company expense reports and company-level review</w:t>
            </w:r>
          </w:p>
        </w:tc>
      </w:tr>
      <w:tr>
        <w:tc>
          <w:tcPr>
            <w:tcW w:type="dxa" w:w="2520"/>
            <w:vAlign w:val="center"/>
          </w:tcPr>
          <w:p>
            <w:pPr>
              <w:spacing w:after="40"/>
            </w:pPr>
            <w:r/>
            <w:r>
              <w:rPr>
                <w:rFonts w:ascii="Arial" w:hAnsi="Arial"/>
                <w:b w:val="0"/>
                <w:sz w:val="16"/>
              </w:rPr>
              <w:t>HR</w:t>
            </w:r>
          </w:p>
        </w:tc>
        <w:tc>
          <w:tcPr>
            <w:tcW w:type="dxa" w:w="2520"/>
            <w:vAlign w:val="center"/>
          </w:tcPr>
          <w:p>
            <w:pPr>
              <w:spacing w:after="40"/>
            </w:pPr>
            <w:r/>
            <w:r>
              <w:rPr>
                <w:rFonts w:ascii="Arial" w:hAnsi="Arial"/>
                <w:b w:val="0"/>
                <w:sz w:val="16"/>
              </w:rPr>
              <w:t>Compensation amounts payable and period summaries</w:t>
            </w:r>
          </w:p>
        </w:tc>
        <w:tc>
          <w:tcPr>
            <w:tcW w:type="dxa" w:w="2520"/>
            <w:vAlign w:val="center"/>
          </w:tcPr>
          <w:p>
            <w:pPr>
              <w:spacing w:after="40"/>
            </w:pPr>
            <w:r/>
            <w:r>
              <w:rPr>
                <w:rFonts w:ascii="Arial" w:hAnsi="Arial"/>
                <w:b w:val="0"/>
                <w:sz w:val="16"/>
              </w:rPr>
              <w:t>Store summaries; aggregate under approved rules</w:t>
            </w:r>
          </w:p>
        </w:tc>
        <w:tc>
          <w:tcPr>
            <w:tcW w:type="dxa" w:w="2520"/>
            <w:vAlign w:val="center"/>
          </w:tcPr>
          <w:p>
            <w:pPr>
              <w:spacing w:after="40"/>
            </w:pPr>
            <w:r/>
            <w:r>
              <w:rPr>
                <w:rFonts w:ascii="Arial" w:hAnsi="Arial"/>
                <w:b w:val="0"/>
                <w:sz w:val="16"/>
              </w:rPr>
              <w:t>Compensation summary and company-level review</w:t>
            </w:r>
          </w:p>
        </w:tc>
      </w:tr>
      <w:tr>
        <w:tc>
          <w:tcPr>
            <w:tcW w:type="dxa" w:w="2520"/>
            <w:vAlign w:val="center"/>
          </w:tcPr>
          <w:p>
            <w:pPr>
              <w:spacing w:after="40"/>
            </w:pPr>
            <w:r/>
            <w:r>
              <w:rPr>
                <w:rFonts w:ascii="Arial" w:hAnsi="Arial"/>
                <w:b w:val="0"/>
                <w:sz w:val="16"/>
              </w:rPr>
              <w:t>President / authorized users</w:t>
            </w:r>
          </w:p>
        </w:tc>
        <w:tc>
          <w:tcPr>
            <w:tcW w:type="dxa" w:w="2520"/>
            <w:vAlign w:val="center"/>
          </w:tcPr>
          <w:p>
            <w:pPr>
              <w:spacing w:after="40"/>
            </w:pPr>
            <w:r/>
            <w:r>
              <w:rPr>
                <w:rFonts w:ascii="Arial" w:hAnsi="Arial"/>
                <w:b w:val="0"/>
                <w:sz w:val="16"/>
              </w:rPr>
              <w:t>Search criteria, date range, report filters</w:t>
            </w:r>
          </w:p>
        </w:tc>
        <w:tc>
          <w:tcPr>
            <w:tcW w:type="dxa" w:w="2520"/>
            <w:vAlign w:val="center"/>
          </w:tcPr>
          <w:p>
            <w:pPr>
              <w:spacing w:after="40"/>
            </w:pPr>
            <w:r/>
            <w:r>
              <w:rPr>
                <w:rFonts w:ascii="Arial" w:hAnsi="Arial"/>
                <w:b w:val="0"/>
                <w:sz w:val="16"/>
              </w:rPr>
              <w:t>Retrieve and aggregate permitted records</w:t>
            </w:r>
          </w:p>
        </w:tc>
        <w:tc>
          <w:tcPr>
            <w:tcW w:type="dxa" w:w="2520"/>
            <w:vAlign w:val="center"/>
          </w:tcPr>
          <w:p>
            <w:pPr>
              <w:spacing w:after="40"/>
            </w:pPr>
            <w:r/>
            <w:r>
              <w:rPr>
                <w:rFonts w:ascii="Arial" w:hAnsi="Arial"/>
                <w:b w:val="0"/>
                <w:sz w:val="16"/>
              </w:rPr>
              <w:t>Truck/delivery profitability and company reports</w:t>
            </w:r>
          </w:p>
        </w:tc>
      </w:tr>
      <w:tr>
        <w:tc>
          <w:tcPr>
            <w:tcW w:type="dxa" w:w="2520"/>
            <w:vAlign w:val="center"/>
          </w:tcPr>
          <w:p>
            <w:pPr>
              <w:spacing w:after="40"/>
            </w:pPr>
            <w:r/>
            <w:r>
              <w:rPr>
                <w:rFonts w:ascii="Arial" w:hAnsi="Arial"/>
                <w:b w:val="0"/>
                <w:sz w:val="16"/>
              </w:rPr>
              <w:t>Administrator</w:t>
            </w:r>
          </w:p>
        </w:tc>
        <w:tc>
          <w:tcPr>
            <w:tcW w:type="dxa" w:w="2520"/>
            <w:vAlign w:val="center"/>
          </w:tcPr>
          <w:p>
            <w:pPr>
              <w:spacing w:after="40"/>
            </w:pPr>
            <w:r/>
            <w:r>
              <w:rPr>
                <w:rFonts w:ascii="Arial" w:hAnsi="Arial"/>
                <w:b w:val="0"/>
                <w:sz w:val="16"/>
              </w:rPr>
              <w:t>User and role changes</w:t>
            </w:r>
          </w:p>
        </w:tc>
        <w:tc>
          <w:tcPr>
            <w:tcW w:type="dxa" w:w="2520"/>
            <w:vAlign w:val="center"/>
          </w:tcPr>
          <w:p>
            <w:pPr>
              <w:spacing w:after="40"/>
            </w:pPr>
            <w:r/>
            <w:r>
              <w:rPr>
                <w:rFonts w:ascii="Arial" w:hAnsi="Arial"/>
                <w:b w:val="0"/>
                <w:sz w:val="16"/>
              </w:rPr>
              <w:t>Enforce permissions and record audit events</w:t>
            </w:r>
          </w:p>
        </w:tc>
        <w:tc>
          <w:tcPr>
            <w:tcW w:type="dxa" w:w="2520"/>
            <w:vAlign w:val="center"/>
          </w:tcPr>
          <w:p>
            <w:pPr>
              <w:spacing w:after="40"/>
            </w:pPr>
            <w:r/>
            <w:r>
              <w:rPr>
                <w:rFonts w:ascii="Arial" w:hAnsi="Arial"/>
                <w:b w:val="0"/>
                <w:sz w:val="16"/>
              </w:rPr>
              <w:t>Controlled access and traceability</w:t>
            </w:r>
          </w:p>
        </w:tc>
      </w:tr>
    </w:tbl>
    <w:p/>
    <w:p>
      <w:pPr>
        <w:pStyle w:val="Heading1"/>
      </w:pPr>
      <w:r>
        <w:t>5. Modules and Submodules</w:t>
      </w:r>
    </w:p>
    <w:p>
      <w:pPr>
        <w:pStyle w:val="Heading2"/>
      </w:pPr>
      <w:r>
        <w:t>5.1 Delivery Management</w:t>
      </w:r>
    </w:p>
    <w:p>
      <w:r>
        <w:t>Stores completed delivery transactions. Expected information includes delivery ID, client, truck plate, truck type/reference, driver and one or two helpers where applicable, route or locations, delivery date, Call Time, ETA/arrival at store, Start Loading, End Loading, Departure, revenue, approved additional charges, delivery expenses, remarks, and POD. Exact mandatory fields and status values require confirmation.</w:t>
      </w:r>
    </w:p>
    <w:p>
      <w:pPr>
        <w:pStyle w:val="Heading2"/>
      </w:pPr>
      <w:r>
        <w:t>5.2 Fleet Management</w:t>
      </w:r>
    </w:p>
    <w:p>
      <w:r>
        <w:t>Maintains owned and subcontracted truck records, plate numbers, 4-wheeler/6-wheeler classification, and active/inactive status. Truck profiles provide historical deliveries and approved financial summaries. The latest client estimate is approximately six owned trucks and around fifty subcontracted units; these counts are operational context, not hard-coded limits.</w:t>
      </w:r>
    </w:p>
    <w:p>
      <w:pPr>
        <w:pStyle w:val="Heading2"/>
      </w:pPr>
      <w:r>
        <w:t>5.3 Delivery Financials and Profitability</w:t>
      </w:r>
    </w:p>
    <w:p>
      <w:r>
        <w:t>Stores revenue and expenses attributed to each delivery. Candidate expense labels include Fuel, Labor, Toll, Other, Permits, Entry Fees, Overtime, Demurrage, and Additional Drops. Some items may be revenue charges or expenses depending on context, so classification must follow an approved rule. The system should calculate rather than allow direct editing of derived margins.</w:t>
      </w:r>
    </w:p>
    <w:p>
      <w:pPr>
        <w:pStyle w:val="Heading2"/>
      </w:pPr>
      <w:r>
        <w:t>5.4 Company Operating Expenses</w:t>
      </w:r>
    </w:p>
    <w:p>
      <w:r>
        <w:t>Finance records expenses not directly associated with a specific delivery, such as insurance, registration, office rent, utilities, equipment, and other approved operating costs. These records remain separate from delivery expenses so reports can distinguish delivery-level margin from company-level results.</w:t>
      </w:r>
    </w:p>
    <w:p>
      <w:pPr>
        <w:pStyle w:val="Heading2"/>
      </w:pPr>
      <w:r>
        <w:t>5.5 HR Compensation Summaries</w:t>
      </w:r>
    </w:p>
    <w:p>
      <w:r>
        <w:t>HR records or summarizes amounts payable to staff, drivers, and helpers. The initial scope is compensation visibility for management, not an assumed end-to-end payroll system. Any daily rate, allowance, cutoff, payroll split, deduction, or statutory contribution logic must be confirmed before implementation.</w:t>
      </w:r>
    </w:p>
    <w:p>
      <w:pPr>
        <w:pStyle w:val="Heading2"/>
      </w:pPr>
      <w:r>
        <w:t>5.6 Search and Record Retrieval</w:t>
      </w:r>
    </w:p>
    <w:p>
      <w:r>
        <w:t>Global search should retrieve deliveries, trucks, clients, employees, and linked POD records by relevant identifiers and text. Date-range filters should be consistent across Dashboard, Fleet, Deliveries, and Reports. Search results must respect user permissions.</w:t>
      </w:r>
    </w:p>
    <w:p>
      <w:pPr>
        <w:pStyle w:val="Heading2"/>
      </w:pPr>
      <w:r>
        <w:t>5.7 Reports and Profitability Analysis</w:t>
      </w:r>
    </w:p>
    <w:p>
      <w:pPr>
        <w:pStyle w:val="ListBullet"/>
      </w:pPr>
      <w:r>
        <w:t>Delivery activity, revenue, expense, POD completeness, and delivery profitability reports.</w:t>
      </w:r>
    </w:p>
    <w:p>
      <w:pPr>
        <w:pStyle w:val="ListBullet"/>
      </w:pPr>
      <w:r>
        <w:t>Truck profitability and delivery history for a selected date range.</w:t>
      </w:r>
    </w:p>
    <w:p>
      <w:pPr>
        <w:pStyle w:val="ListBullet"/>
      </w:pPr>
      <w:r>
        <w:t>Company-level summary including delivery results, HR compensation summaries, and non-delivery operating expenses under the approved financial definition.</w:t>
      </w:r>
    </w:p>
    <w:p>
      <w:pPr>
        <w:pStyle w:val="ListBullet"/>
      </w:pPr>
      <w:r>
        <w:t>Export/print support where implemented, with selected filters and reporting period shown.</w:t>
      </w:r>
    </w:p>
    <w:p>
      <w:pPr>
        <w:pStyle w:val="ListBullet"/>
      </w:pPr>
      <w:r>
        <w:t>Clear empty states when no records exist for the selected period.</w:t>
      </w:r>
    </w:p>
    <w:p>
      <w:pPr>
        <w:pStyle w:val="Heading2"/>
      </w:pPr>
      <w:r>
        <w:t>5.8 Security, Administration, and Audit</w:t>
      </w:r>
    </w:p>
    <w:p>
      <w:r>
        <w:t>Use authentication and server-enforced role-based authorization. Activity logs record user actions such as login, creation, update, and upload. Audit trails should preserve important before/after changes for financial and operational records. Restrict private POD access to authorized users.</w:t>
      </w:r>
    </w:p>
    <w:p>
      <w:pPr>
        <w:pStyle w:val="Heading1"/>
      </w:pPr>
      <w:r>
        <w:t>6. High-Level Process Flow</w:t>
      </w:r>
    </w:p>
    <w:p>
      <w:pPr>
        <w:pStyle w:val="ListNumber"/>
      </w:pPr>
      <w:r>
        <w:t>Delivery completed in the real world.</w:t>
      </w:r>
    </w:p>
    <w:p>
      <w:pPr>
        <w:pStyle w:val="ListNumber"/>
      </w:pPr>
      <w:r>
        <w:t>Operations records the completed transaction and supporting delivery information in RouteX.</w:t>
      </w:r>
    </w:p>
    <w:p>
      <w:pPr>
        <w:pStyle w:val="ListNumber"/>
      </w:pPr>
      <w:r>
        <w:t>Operations attaches or retrieves the POD and records approved revenue and delivery costs.</w:t>
      </w:r>
    </w:p>
    <w:p>
      <w:pPr>
        <w:pStyle w:val="ListNumber"/>
      </w:pPr>
      <w:r>
        <w:t>RouteX validates the record and calculates delivery-level results under the approved rule.</w:t>
      </w:r>
    </w:p>
    <w:p>
      <w:pPr>
        <w:pStyle w:val="ListNumber"/>
      </w:pPr>
      <w:r>
        <w:t>Finance enters non-delivery company expenses separately.</w:t>
      </w:r>
    </w:p>
    <w:p>
      <w:pPr>
        <w:pStyle w:val="ListNumber"/>
      </w:pPr>
      <w:r>
        <w:t>HR enters or summarizes compensation amounts payable separately.</w:t>
      </w:r>
    </w:p>
    <w:p>
      <w:pPr>
        <w:pStyle w:val="ListNumber"/>
      </w:pPr>
      <w:r>
        <w:t>The President searches by truck plate, delivery, employee, client, and period to review delivery/truck results and company-level performance.</w:t>
      </w:r>
    </w:p>
    <w:p>
      <w:pPr>
        <w:pStyle w:val="ListNumber"/>
      </w:pPr>
      <w:r>
        <w:t>Authorized users generate reports; activity/audit records preserve traceability.</w:t>
      </w:r>
    </w:p>
    <w:p>
      <w:pPr>
        <w:pStyle w:val="Heading1"/>
      </w:pPr>
      <w:r>
        <w:t>7. Platform and Technical Specifications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7F0"/>
          </w:tcPr>
          <w:p>
            <w:pPr>
              <w:spacing w:after="40"/>
            </w:pPr>
            <w:r/>
            <w:r>
              <w:rPr>
                <w:rFonts w:ascii="Arial" w:hAnsi="Arial"/>
                <w:b/>
                <w:sz w:val="18"/>
              </w:rPr>
              <w:t>Component</w:t>
            </w:r>
          </w:p>
        </w:tc>
        <w:tc>
          <w:tcPr>
            <w:tcW w:type="dxa" w:w="5040"/>
            <w:vAlign w:val="center"/>
            <w:shd w:fill="D9E7F0"/>
          </w:tcPr>
          <w:p>
            <w:pPr>
              <w:spacing w:after="40"/>
            </w:pPr>
            <w:r/>
            <w:r>
              <w:rPr>
                <w:rFonts w:ascii="Arial" w:hAnsi="Arial"/>
                <w:b/>
                <w:sz w:val="18"/>
              </w:rPr>
              <w:t>Specification</w:t>
            </w:r>
          </w:p>
        </w:tc>
      </w:tr>
      <w:tr>
        <w:tc>
          <w:tcPr>
            <w:tcW w:type="dxa" w:w="5040"/>
            <w:vAlign w:val="center"/>
          </w:tcPr>
          <w:p>
            <w:pPr>
              <w:spacing w:after="40"/>
            </w:pPr>
            <w:r/>
            <w:r>
              <w:rPr>
                <w:rFonts w:ascii="Arial" w:hAnsi="Arial"/>
                <w:b w:val="0"/>
                <w:sz w:val="16"/>
              </w:rPr>
              <w:t>Application</w:t>
            </w:r>
          </w:p>
        </w:tc>
        <w:tc>
          <w:tcPr>
            <w:tcW w:type="dxa" w:w="5040"/>
            <w:vAlign w:val="center"/>
          </w:tcPr>
          <w:p>
            <w:pPr>
              <w:spacing w:after="40"/>
            </w:pPr>
            <w:r/>
            <w:r>
              <w:rPr>
                <w:rFonts w:ascii="Arial" w:hAnsi="Arial"/>
                <w:b w:val="0"/>
                <w:sz w:val="16"/>
              </w:rPr>
              <w:t>Next.js 15 App Router</w:t>
            </w:r>
          </w:p>
        </w:tc>
      </w:tr>
      <w:tr>
        <w:tc>
          <w:tcPr>
            <w:tcW w:type="dxa" w:w="5040"/>
            <w:vAlign w:val="center"/>
          </w:tcPr>
          <w:p>
            <w:pPr>
              <w:spacing w:after="40"/>
            </w:pPr>
            <w:r/>
            <w:r>
              <w:rPr>
                <w:rFonts w:ascii="Arial" w:hAnsi="Arial"/>
                <w:b w:val="0"/>
                <w:sz w:val="16"/>
              </w:rPr>
              <w:t>Frontend</w:t>
            </w:r>
          </w:p>
        </w:tc>
        <w:tc>
          <w:tcPr>
            <w:tcW w:type="dxa" w:w="5040"/>
            <w:vAlign w:val="center"/>
          </w:tcPr>
          <w:p>
            <w:pPr>
              <w:spacing w:after="40"/>
            </w:pPr>
            <w:r/>
            <w:r>
              <w:rPr>
                <w:rFonts w:ascii="Arial" w:hAnsi="Arial"/>
                <w:b w:val="0"/>
                <w:sz w:val="16"/>
              </w:rPr>
              <w:t>React, TypeScript, Tailwind CSS, shadcn/ui, Lucide React</w:t>
            </w:r>
          </w:p>
        </w:tc>
      </w:tr>
      <w:tr>
        <w:tc>
          <w:tcPr>
            <w:tcW w:type="dxa" w:w="5040"/>
            <w:vAlign w:val="center"/>
          </w:tcPr>
          <w:p>
            <w:pPr>
              <w:spacing w:after="40"/>
            </w:pPr>
            <w:r/>
            <w:r>
              <w:rPr>
                <w:rFonts w:ascii="Arial" w:hAnsi="Arial"/>
                <w:b w:val="0"/>
                <w:sz w:val="16"/>
              </w:rPr>
              <w:t>Server</w:t>
            </w:r>
          </w:p>
        </w:tc>
        <w:tc>
          <w:tcPr>
            <w:tcW w:type="dxa" w:w="5040"/>
            <w:vAlign w:val="center"/>
          </w:tcPr>
          <w:p>
            <w:pPr>
              <w:spacing w:after="40"/>
            </w:pPr>
            <w:r/>
            <w:r>
              <w:rPr>
                <w:rFonts w:ascii="Arial" w:hAnsi="Arial"/>
                <w:b w:val="0"/>
                <w:sz w:val="16"/>
              </w:rPr>
              <w:t>Next.js Server Actions and Route Handlers</w:t>
            </w:r>
          </w:p>
        </w:tc>
      </w:tr>
      <w:tr>
        <w:tc>
          <w:tcPr>
            <w:tcW w:type="dxa" w:w="5040"/>
            <w:vAlign w:val="center"/>
          </w:tcPr>
          <w:p>
            <w:pPr>
              <w:spacing w:after="40"/>
            </w:pPr>
            <w:r/>
            <w:r>
              <w:rPr>
                <w:rFonts w:ascii="Arial" w:hAnsi="Arial"/>
                <w:b w:val="0"/>
                <w:sz w:val="16"/>
              </w:rPr>
              <w:t>Database</w:t>
            </w:r>
          </w:p>
        </w:tc>
        <w:tc>
          <w:tcPr>
            <w:tcW w:type="dxa" w:w="5040"/>
            <w:vAlign w:val="center"/>
          </w:tcPr>
          <w:p>
            <w:pPr>
              <w:spacing w:after="40"/>
            </w:pPr>
            <w:r/>
            <w:r>
              <w:rPr>
                <w:rFonts w:ascii="Arial" w:hAnsi="Arial"/>
                <w:b w:val="0"/>
                <w:sz w:val="16"/>
              </w:rPr>
              <w:t>PostgreSQL through Supabase</w:t>
            </w:r>
          </w:p>
        </w:tc>
      </w:tr>
      <w:tr>
        <w:tc>
          <w:tcPr>
            <w:tcW w:type="dxa" w:w="5040"/>
            <w:vAlign w:val="center"/>
          </w:tcPr>
          <w:p>
            <w:pPr>
              <w:spacing w:after="40"/>
            </w:pPr>
            <w:r/>
            <w:r>
              <w:rPr>
                <w:rFonts w:ascii="Arial" w:hAnsi="Arial"/>
                <w:b w:val="0"/>
                <w:sz w:val="16"/>
              </w:rPr>
              <w:t>Authentication</w:t>
            </w:r>
          </w:p>
        </w:tc>
        <w:tc>
          <w:tcPr>
            <w:tcW w:type="dxa" w:w="5040"/>
            <w:vAlign w:val="center"/>
          </w:tcPr>
          <w:p>
            <w:pPr>
              <w:spacing w:after="40"/>
            </w:pPr>
            <w:r/>
            <w:r>
              <w:rPr>
                <w:rFonts w:ascii="Arial" w:hAnsi="Arial"/>
                <w:b w:val="0"/>
                <w:sz w:val="16"/>
              </w:rPr>
              <w:t>Auth.js</w:t>
            </w:r>
          </w:p>
        </w:tc>
      </w:tr>
      <w:tr>
        <w:tc>
          <w:tcPr>
            <w:tcW w:type="dxa" w:w="5040"/>
            <w:vAlign w:val="center"/>
          </w:tcPr>
          <w:p>
            <w:pPr>
              <w:spacing w:after="40"/>
            </w:pPr>
            <w:r/>
            <w:r>
              <w:rPr>
                <w:rFonts w:ascii="Arial" w:hAnsi="Arial"/>
                <w:b w:val="0"/>
                <w:sz w:val="16"/>
              </w:rPr>
              <w:t>File storage</w:t>
            </w:r>
          </w:p>
        </w:tc>
        <w:tc>
          <w:tcPr>
            <w:tcW w:type="dxa" w:w="5040"/>
            <w:vAlign w:val="center"/>
          </w:tcPr>
          <w:p>
            <w:pPr>
              <w:spacing w:after="40"/>
            </w:pPr>
            <w:r/>
            <w:r>
              <w:rPr>
                <w:rFonts w:ascii="Arial" w:hAnsi="Arial"/>
                <w:b w:val="0"/>
                <w:sz w:val="16"/>
              </w:rPr>
              <w:t>Supabase Storage</w:t>
            </w:r>
          </w:p>
        </w:tc>
      </w:tr>
      <w:tr>
        <w:tc>
          <w:tcPr>
            <w:tcW w:type="dxa" w:w="5040"/>
            <w:vAlign w:val="center"/>
          </w:tcPr>
          <w:p>
            <w:pPr>
              <w:spacing w:after="40"/>
            </w:pPr>
            <w:r/>
            <w:r>
              <w:rPr>
                <w:rFonts w:ascii="Arial" w:hAnsi="Arial"/>
                <w:b w:val="0"/>
                <w:sz w:val="16"/>
              </w:rPr>
              <w:t>Deployment</w:t>
            </w:r>
          </w:p>
        </w:tc>
        <w:tc>
          <w:tcPr>
            <w:tcW w:type="dxa" w:w="5040"/>
            <w:vAlign w:val="center"/>
          </w:tcPr>
          <w:p>
            <w:pPr>
              <w:spacing w:after="40"/>
            </w:pPr>
            <w:r/>
            <w:r>
              <w:rPr>
                <w:rFonts w:ascii="Arial" w:hAnsi="Arial"/>
                <w:b w:val="0"/>
                <w:sz w:val="16"/>
              </w:rPr>
              <w:t>Vercel</w:t>
            </w:r>
          </w:p>
        </w:tc>
      </w:tr>
      <w:tr>
        <w:tc>
          <w:tcPr>
            <w:tcW w:type="dxa" w:w="5040"/>
            <w:vAlign w:val="center"/>
          </w:tcPr>
          <w:p>
            <w:pPr>
              <w:spacing w:after="40"/>
            </w:pPr>
            <w:r/>
            <w:r>
              <w:rPr>
                <w:rFonts w:ascii="Arial" w:hAnsi="Arial"/>
                <w:b w:val="0"/>
                <w:sz w:val="16"/>
              </w:rPr>
              <w:t>Package manager</w:t>
            </w:r>
          </w:p>
        </w:tc>
        <w:tc>
          <w:tcPr>
            <w:tcW w:type="dxa" w:w="5040"/>
            <w:vAlign w:val="center"/>
          </w:tcPr>
          <w:p>
            <w:pPr>
              <w:spacing w:after="40"/>
            </w:pPr>
            <w:r/>
            <w:r>
              <w:rPr>
                <w:rFonts w:ascii="Arial" w:hAnsi="Arial"/>
                <w:b w:val="0"/>
                <w:sz w:val="16"/>
              </w:rPr>
              <w:t>npm</w:t>
            </w:r>
          </w:p>
        </w:tc>
      </w:tr>
      <w:tr>
        <w:tc>
          <w:tcPr>
            <w:tcW w:type="dxa" w:w="5040"/>
            <w:vAlign w:val="center"/>
          </w:tcPr>
          <w:p>
            <w:pPr>
              <w:spacing w:after="40"/>
            </w:pPr>
            <w:r/>
            <w:r>
              <w:rPr>
                <w:rFonts w:ascii="Arial" w:hAnsi="Arial"/>
                <w:b w:val="0"/>
                <w:sz w:val="16"/>
              </w:rPr>
              <w:t>Architecture constraints</w:t>
            </w:r>
          </w:p>
        </w:tc>
        <w:tc>
          <w:tcPr>
            <w:tcW w:type="dxa" w:w="5040"/>
            <w:vAlign w:val="center"/>
          </w:tcPr>
          <w:p>
            <w:pPr>
              <w:spacing w:after="40"/>
            </w:pPr>
            <w:r/>
            <w:r>
              <w:rPr>
                <w:rFonts w:ascii="Arial" w:hAnsi="Arial"/>
                <w:b w:val="0"/>
                <w:sz w:val="16"/>
              </w:rPr>
              <w:t>Single Next.js application; no Prisma; no separate backend app.</w:t>
            </w:r>
          </w:p>
        </w:tc>
      </w:tr>
      <w:tr>
        <w:tc>
          <w:tcPr>
            <w:tcW w:type="dxa" w:w="5040"/>
            <w:vAlign w:val="center"/>
          </w:tcPr>
          <w:p>
            <w:pPr>
              <w:spacing w:after="40"/>
            </w:pPr>
            <w:r/>
            <w:r>
              <w:rPr>
                <w:rFonts w:ascii="Arial" w:hAnsi="Arial"/>
                <w:b w:val="0"/>
                <w:sz w:val="16"/>
              </w:rPr>
              <w:t>Client requirements</w:t>
            </w:r>
          </w:p>
        </w:tc>
        <w:tc>
          <w:tcPr>
            <w:tcW w:type="dxa" w:w="5040"/>
            <w:vAlign w:val="center"/>
          </w:tcPr>
          <w:p>
            <w:pPr>
              <w:spacing w:after="40"/>
            </w:pPr>
            <w:r/>
            <w:r>
              <w:rPr>
                <w:rFonts w:ascii="Arial" w:hAnsi="Arial"/>
                <w:b w:val="0"/>
                <w:sz w:val="16"/>
              </w:rPr>
              <w:t>Modern web browser and stable internet connection; stated minimum baseline is dual-core 2.0 GHz CPU, 8 GB RAM, 1366 × 768 display, and 1 GB available storage.</w:t>
            </w:r>
          </w:p>
        </w:tc>
      </w:tr>
    </w:tbl>
    <w:p/>
    <w:p>
      <w:pPr>
        <w:pStyle w:val="Heading1"/>
      </w:pPr>
      <w:r>
        <w:t>8. Technical and Data Integrity Notes</w:t>
      </w:r>
    </w:p>
    <w:p>
      <w:pPr>
        <w:pStyle w:val="ListBullet"/>
      </w:pPr>
      <w:r>
        <w:t>Store money using PostgreSQL numeric/decimal values or integer minor units, not floating-point types.</w:t>
      </w:r>
    </w:p>
    <w:p>
      <w:pPr>
        <w:pStyle w:val="ListBullet"/>
      </w:pPr>
      <w:r>
        <w:t>Preserve historical rates and transaction values; changing a current rate must not silently recalculate past deliveries.</w:t>
      </w:r>
    </w:p>
    <w:p>
      <w:pPr>
        <w:pStyle w:val="ListBullet"/>
      </w:pPr>
      <w:r>
        <w:t>Separate source values from derived totals and margins.</w:t>
      </w:r>
    </w:p>
    <w:p>
      <w:pPr>
        <w:pStyle w:val="ListBullet"/>
      </w:pPr>
      <w:r>
        <w:t>Do not count the same labor/allowance amount once as delivery labor and again as company compensation unless the approved reporting model explicitly reconciles the two.</w:t>
      </w:r>
    </w:p>
    <w:p>
      <w:pPr>
        <w:pStyle w:val="ListBullet"/>
      </w:pPr>
      <w:r>
        <w:t>Do not allocate company overhead to individual truck margins without an approved allocation method.</w:t>
      </w:r>
    </w:p>
    <w:p>
      <w:pPr>
        <w:pStyle w:val="ListBullet"/>
      </w:pPr>
      <w:r>
        <w:t>Protect secrets and enforce authorization on the server, not only in the interface.</w:t>
      </w:r>
    </w:p>
    <w:p>
      <w:pPr>
        <w:pStyle w:val="ListBullet"/>
      </w:pPr>
      <w:r>
        <w:t>Use private file access and appropriate authorization for POD and supporting documents.</w:t>
      </w:r>
    </w:p>
    <w:p>
      <w:pPr>
        <w:pStyle w:val="Heading1"/>
      </w:pPr>
      <w:r>
        <w:t>9. Open Technical / Business Decisions</w:t>
      </w:r>
    </w:p>
    <w:p>
      <w:pPr>
        <w:pStyle w:val="ListBullet"/>
      </w:pPr>
      <w:r>
        <w:t>Final role-permission matrix and approved organizational chart.</w:t>
      </w:r>
    </w:p>
    <w:p>
      <w:pPr>
        <w:pStyle w:val="ListBullet"/>
      </w:pPr>
      <w:r>
        <w:t>Mandatory delivery fields and whether any status workflow is required for post-completion entry.</w:t>
      </w:r>
    </w:p>
    <w:p>
      <w:pPr>
        <w:pStyle w:val="ListBullet"/>
      </w:pPr>
      <w:r>
        <w:t>Formula and classification for delivery revenue, delivery expenses, compensation, company expenses, and overall company result.</w:t>
      </w:r>
    </w:p>
    <w:p>
      <w:pPr>
        <w:pStyle w:val="ListBullet"/>
      </w:pPr>
      <w:r>
        <w:t>Allowance/daily-rate rules, payroll cutoffs and payment schedule, and allocation of employees who work across deliveries.</w:t>
      </w:r>
    </w:p>
    <w:p>
      <w:pPr>
        <w:pStyle w:val="ListBullet"/>
      </w:pPr>
      <w:r>
        <w:t>Rules for the three-hour threshold and ₱500 hourly charge; additional-drop fee and included drop count.</w:t>
      </w:r>
    </w:p>
    <w:p>
      <w:pPr>
        <w:pStyle w:val="ListBullet"/>
      </w:pPr>
      <w:r>
        <w:t>Retention, backup schedule, file size/type restrictions, and report export requirements.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RouteX | Technical Documentation | Working document, confirm all TBD items with the client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B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45B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2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