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233A52"/>
          <w:sz w:val="28"/>
        </w:rPr>
        <w:t>REPUBLIC OF THE PHILIPPINES</w:t>
        <w:br/>
        <w:t>CAVITE STATE UNIVERSITY</w:t>
        <w:br/>
      </w:r>
      <w:r>
        <w:t>College of Engineering and Information Technology</w:t>
        <w:br/>
        <w:t>Don Severino delas Alas Campus, Indang, Cavite</w:t>
      </w:r>
    </w:p>
    <w:p>
      <w:pPr>
        <w:spacing w:before="800"/>
        <w:jc w:val="center"/>
      </w:pPr>
      <w:r>
        <w:rPr>
          <w:b/>
          <w:color w:val="233A52"/>
          <w:sz w:val="48"/>
        </w:rPr>
        <w:t>SOFTWARE REQUIREMENTS</w:t>
        <w:br/>
        <w:t>SPECIFICATION</w:t>
      </w:r>
    </w:p>
    <w:p>
      <w:pPr>
        <w:jc w:val="center"/>
      </w:pPr>
      <w:r>
        <w:rPr>
          <w:b/>
          <w:sz w:val="28"/>
        </w:rPr>
        <w:t>RouteX: A Truck Profitability and Delivery Operations Management System</w:t>
      </w:r>
    </w:p>
    <w:p>
      <w:pPr>
        <w:jc w:val="center"/>
      </w:pPr>
      <w:r>
        <w:t>Version 1.0 | Draft for Review</w:t>
        <w:br/>
        <w:br/>
        <w:t>Prepared for:</w:t>
        <w:br/>
        <w:t>Redeemed Route Logistics Inc.</w:t>
        <w:br/>
        <w:t>3rd Floor, Glass Door, AGDC Commercial Bldg, Trece Martires - Indang Rd,</w:t>
        <w:br/>
        <w:t>Inocencio, Trece Martires City, 4109 Cavite</w:t>
        <w:br/>
        <w:br/>
        <w:t>Prepared by: RouteX</w:t>
        <w:br/>
        <w:t>Louiza Joy C. Beñares – Project Manager</w:t>
        <w:br/>
        <w:t>Jelene C. Punongbayan – System Analyst</w:t>
        <w:br/>
        <w:t>Marc Rancel Bongalos – Tester/Developer</w:t>
        <w:br/>
        <w:br/>
        <w:t>Date: October 17,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shd w:fill="233A52"/>
          </w:tcPr>
          <w:p>
            <w:r>
              <w:rPr>
                <w:b/>
                <w:color w:val="FFFFFF"/>
                <w:sz w:val="16"/>
              </w:rPr>
              <w:t>Field</w:t>
            </w:r>
          </w:p>
        </w:tc>
        <w:tc>
          <w:tcPr>
            <w:tcW w:type="dxa" w:w="4968"/>
            <w:shd w:fill="233A52"/>
          </w:tcPr>
          <w:p>
            <w:r>
              <w:rPr>
                <w:b/>
                <w:color w:val="FFFFFF"/>
                <w:sz w:val="16"/>
              </w:rPr>
              <w:t>Details</w:t>
            </w:r>
          </w:p>
        </w:tc>
      </w:tr>
      <w:tr>
        <w:tc>
          <w:tcPr>
            <w:tcW w:type="dxa" w:w="4968"/>
            <w:vAlign w:val="center"/>
            <w:shd w:fill="F2F5F8"/>
          </w:tcPr>
          <w:p>
            <w:pPr>
              <w:spacing w:after="20"/>
            </w:pPr>
            <w:r>
              <w:rPr>
                <w:sz w:val="16"/>
              </w:rPr>
              <w:t>Document</w:t>
            </w:r>
          </w:p>
        </w:tc>
        <w:tc>
          <w:tcPr>
            <w:tcW w:type="dxa" w:w="4968"/>
            <w:vAlign w:val="center"/>
            <w:shd w:fill="F2F5F8"/>
          </w:tcPr>
          <w:p>
            <w:pPr>
              <w:spacing w:after="20"/>
            </w:pPr>
            <w:r>
              <w:rPr>
                <w:sz w:val="16"/>
              </w:rPr>
              <w:t>Software Requirements Specification (SRS)</w:t>
            </w:r>
          </w:p>
        </w:tc>
      </w:tr>
      <w:tr>
        <w:tc>
          <w:tcPr>
            <w:tcW w:type="dxa" w:w="4968"/>
            <w:vAlign w:val="center"/>
          </w:tcPr>
          <w:p>
            <w:pPr>
              <w:spacing w:after="20"/>
            </w:pPr>
            <w:r>
              <w:rPr>
                <w:sz w:val="16"/>
              </w:rPr>
              <w:t>System</w:t>
            </w:r>
          </w:p>
        </w:tc>
        <w:tc>
          <w:tcPr>
            <w:tcW w:type="dxa" w:w="4968"/>
            <w:vAlign w:val="center"/>
          </w:tcPr>
          <w:p>
            <w:pPr>
              <w:spacing w:after="20"/>
            </w:pPr>
            <w:r>
              <w:rPr>
                <w:sz w:val="16"/>
              </w:rPr>
              <w:t>RouteX: A Truck Profitability and Delivery Operations Management System</w:t>
            </w:r>
          </w:p>
        </w:tc>
      </w:tr>
      <w:tr>
        <w:tc>
          <w:tcPr>
            <w:tcW w:type="dxa" w:w="4968"/>
            <w:vAlign w:val="center"/>
            <w:shd w:fill="F2F5F8"/>
          </w:tcPr>
          <w:p>
            <w:pPr>
              <w:spacing w:after="20"/>
            </w:pPr>
            <w:r>
              <w:rPr>
                <w:sz w:val="16"/>
              </w:rPr>
              <w:t>Status</w:t>
            </w:r>
          </w:p>
        </w:tc>
        <w:tc>
          <w:tcPr>
            <w:tcW w:type="dxa" w:w="4968"/>
            <w:vAlign w:val="center"/>
            <w:shd w:fill="F2F5F8"/>
          </w:tcPr>
          <w:p>
            <w:pPr>
              <w:spacing w:after="20"/>
            </w:pPr>
            <w:r>
              <w:rPr>
                <w:sz w:val="16"/>
              </w:rPr>
              <w:t>Version 1.0, draft for review; not yet client-approved</w:t>
            </w:r>
          </w:p>
        </w:tc>
      </w:tr>
      <w:tr>
        <w:tc>
          <w:tcPr>
            <w:tcW w:type="dxa" w:w="4968"/>
            <w:vAlign w:val="center"/>
          </w:tcPr>
          <w:p>
            <w:pPr>
              <w:spacing w:after="20"/>
            </w:pPr>
            <w:r>
              <w:rPr>
                <w:sz w:val="16"/>
              </w:rPr>
              <w:t>Prepared for</w:t>
            </w:r>
          </w:p>
        </w:tc>
        <w:tc>
          <w:tcPr>
            <w:tcW w:type="dxa" w:w="4968"/>
            <w:vAlign w:val="center"/>
          </w:tcPr>
          <w:p>
            <w:pPr>
              <w:spacing w:after="20"/>
            </w:pPr>
            <w:r>
              <w:rPr>
                <w:sz w:val="16"/>
              </w:rPr>
              <w:t>Redeemed Route Logistics Inc.</w:t>
            </w:r>
          </w:p>
        </w:tc>
      </w:tr>
      <w:tr>
        <w:tc>
          <w:tcPr>
            <w:tcW w:type="dxa" w:w="4968"/>
            <w:vAlign w:val="center"/>
            <w:shd w:fill="F2F5F8"/>
          </w:tcPr>
          <w:p>
            <w:pPr>
              <w:spacing w:after="20"/>
            </w:pPr>
            <w:r>
              <w:rPr>
                <w:sz w:val="16"/>
              </w:rPr>
              <w:t>Source basis</w:t>
            </w:r>
          </w:p>
        </w:tc>
        <w:tc>
          <w:tcPr>
            <w:tcW w:type="dxa" w:w="4968"/>
            <w:vAlign w:val="center"/>
            <w:shd w:fill="F2F5F8"/>
          </w:tcPr>
          <w:p>
            <w:pPr>
              <w:spacing w:after="20"/>
            </w:pPr>
            <w:r>
              <w:rPr>
                <w:sz w:val="16"/>
              </w:rPr>
              <w:t>RouteX_SRS.pdf, SRS-Template (1).docx, and previously established RouteX project context</w:t>
            </w:r>
          </w:p>
        </w:tc>
      </w:tr>
    </w:tbl>
    <w:p/>
    <w:p>
      <w:pPr>
        <w:pStyle w:val="Heading2"/>
      </w:pPr>
      <w:r>
        <w:t>Revision History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233A52"/>
          </w:tcPr>
          <w:p>
            <w:r>
              <w:rPr>
                <w:b/>
                <w:color w:val="FFFFFF"/>
                <w:sz w:val="16"/>
              </w:rPr>
              <w:t>Name</w:t>
            </w:r>
          </w:p>
        </w:tc>
        <w:tc>
          <w:tcPr>
            <w:tcW w:type="dxa" w:w="2484"/>
            <w:shd w:fill="233A52"/>
          </w:tcPr>
          <w:p>
            <w:r>
              <w:rPr>
                <w:b/>
                <w:color w:val="FFFFFF"/>
                <w:sz w:val="16"/>
              </w:rPr>
              <w:t>Date</w:t>
            </w:r>
          </w:p>
        </w:tc>
        <w:tc>
          <w:tcPr>
            <w:tcW w:type="dxa" w:w="2484"/>
            <w:shd w:fill="233A52"/>
          </w:tcPr>
          <w:p>
            <w:r>
              <w:rPr>
                <w:b/>
                <w:color w:val="FFFFFF"/>
                <w:sz w:val="16"/>
              </w:rPr>
              <w:t>Reason for Changes</w:t>
            </w:r>
          </w:p>
        </w:tc>
        <w:tc>
          <w:tcPr>
            <w:tcW w:type="dxa" w:w="2484"/>
            <w:shd w:fill="233A52"/>
          </w:tcPr>
          <w:p>
            <w:r>
              <w:rPr>
                <w:b/>
                <w:color w:val="FFFFFF"/>
                <w:sz w:val="16"/>
              </w:rPr>
              <w:t>Version</w:t>
            </w:r>
          </w:p>
        </w:tc>
      </w:tr>
      <w:tr>
        <w:tc>
          <w:tcPr>
            <w:tcW w:type="dxa" w:w="2484"/>
            <w:vAlign w:val="center"/>
            <w:shd w:fill="F2F5F8"/>
          </w:tcPr>
          <w:p>
            <w:pPr>
              <w:spacing w:after="20"/>
            </w:pPr>
            <w:r>
              <w:rPr>
                <w:sz w:val="16"/>
              </w:rPr>
              <w:t>RouteX</w:t>
            </w:r>
          </w:p>
        </w:tc>
        <w:tc>
          <w:tcPr>
            <w:tcW w:type="dxa" w:w="2484"/>
            <w:vAlign w:val="center"/>
            <w:shd w:fill="F2F5F8"/>
          </w:tcPr>
          <w:p>
            <w:pPr>
              <w:spacing w:after="20"/>
            </w:pPr>
            <w:r>
              <w:rPr>
                <w:sz w:val="16"/>
              </w:rPr>
              <w:t>September 26, 2026</w:t>
            </w:r>
          </w:p>
        </w:tc>
        <w:tc>
          <w:tcPr>
            <w:tcW w:type="dxa" w:w="2484"/>
            <w:vAlign w:val="center"/>
            <w:shd w:fill="F2F5F8"/>
          </w:tcPr>
          <w:p>
            <w:pPr>
              <w:spacing w:after="20"/>
            </w:pPr>
            <w:r>
              <w:rPr>
                <w:sz w:val="16"/>
              </w:rPr>
              <w:t>Initial SRS draft (source document)</w:t>
            </w:r>
          </w:p>
        </w:tc>
        <w:tc>
          <w:tcPr>
            <w:tcW w:type="dxa" w:w="2484"/>
            <w:vAlign w:val="center"/>
            <w:shd w:fill="F2F5F8"/>
          </w:tcPr>
          <w:p>
            <w:pPr>
              <w:spacing w:after="20"/>
            </w:pPr>
            <w:r>
              <w:rPr>
                <w:sz w:val="16"/>
              </w:rPr>
              <w:t>1.0</w:t>
            </w:r>
          </w:p>
        </w:tc>
      </w:tr>
      <w:tr>
        <w:tc>
          <w:tcPr>
            <w:tcW w:type="dxa" w:w="2484"/>
            <w:vAlign w:val="center"/>
          </w:tcPr>
          <w:p>
            <w:pPr>
              <w:spacing w:after="20"/>
            </w:pPr>
            <w:r>
              <w:rPr>
                <w:sz w:val="16"/>
              </w:rPr>
              <w:t>RouteX</w:t>
            </w:r>
          </w:p>
        </w:tc>
        <w:tc>
          <w:tcPr>
            <w:tcW w:type="dxa" w:w="2484"/>
            <w:vAlign w:val="center"/>
          </w:tcPr>
          <w:p>
            <w:pPr>
              <w:spacing w:after="20"/>
            </w:pPr>
            <w:r>
              <w:rPr>
                <w:sz w:val="16"/>
              </w:rPr>
              <w:t>October 17, 2026</w:t>
            </w:r>
          </w:p>
        </w:tc>
        <w:tc>
          <w:tcPr>
            <w:tcW w:type="dxa" w:w="2484"/>
            <w:vAlign w:val="center"/>
          </w:tcPr>
          <w:p>
            <w:pPr>
              <w:spacing w:after="20"/>
            </w:pPr>
            <w:r>
              <w:rPr>
                <w:sz w:val="16"/>
              </w:rPr>
              <w:t>Expanded and organized requirements; added models and TBD list</w:t>
            </w:r>
          </w:p>
        </w:tc>
        <w:tc>
          <w:tcPr>
            <w:tcW w:type="dxa" w:w="2484"/>
            <w:vAlign w:val="center"/>
          </w:tcPr>
          <w:p>
            <w:pPr>
              <w:spacing w:after="20"/>
            </w:pPr>
            <w:r>
              <w:rPr>
                <w:sz w:val="16"/>
              </w:rPr>
              <w:t>1.0 revised draft</w:t>
            </w:r>
          </w:p>
        </w:tc>
      </w:tr>
    </w:tbl>
    <w:p/>
    <w:p>
      <w:pPr>
        <w:pStyle w:val="Heading1"/>
      </w:pPr>
      <w:r>
        <w:t>Table of Contents</w:t>
      </w:r>
    </w:p>
    <w:p>
      <w:pPr>
        <w:pStyle w:val="ListBullet"/>
      </w:pPr>
      <w:r>
        <w:t>1. Introduction</w:t>
      </w:r>
    </w:p>
    <w:p>
      <w:pPr>
        <w:pStyle w:val="ListBullet"/>
      </w:pPr>
      <w:r>
        <w:t>2. Overall Description</w:t>
      </w:r>
    </w:p>
    <w:p>
      <w:pPr>
        <w:pStyle w:val="ListBullet"/>
      </w:pPr>
      <w:r>
        <w:t>3. External Interface Requirements</w:t>
      </w:r>
    </w:p>
    <w:p>
      <w:pPr>
        <w:pStyle w:val="ListBullet"/>
      </w:pPr>
      <w:r>
        <w:t>4. System Features and Functional Requirements</w:t>
      </w:r>
    </w:p>
    <w:p>
      <w:pPr>
        <w:pStyle w:val="ListBullet"/>
      </w:pPr>
      <w:r>
        <w:t>5. Other Nonfunctional Requirements</w:t>
      </w:r>
    </w:p>
    <w:p>
      <w:pPr>
        <w:pStyle w:val="ListBullet"/>
      </w:pPr>
      <w:r>
        <w:t>6. Other Requirements</w:t>
      </w:r>
    </w:p>
    <w:p>
      <w:pPr>
        <w:pStyle w:val="ListBullet"/>
      </w:pPr>
      <w:r>
        <w:t>Appendix A: Glossary</w:t>
      </w:r>
    </w:p>
    <w:p>
      <w:pPr>
        <w:pStyle w:val="ListBullet"/>
      </w:pPr>
      <w:r>
        <w:t>Appendix B: Analysis Models</w:t>
      </w:r>
    </w:p>
    <w:p>
      <w:pPr>
        <w:pStyle w:val="ListBullet"/>
      </w:pPr>
      <w:r>
        <w:t>Appendix C: To Be Determined List</w:t>
      </w:r>
    </w:p>
    <w:p>
      <w:pPr>
        <w:pStyle w:val="ListBullet"/>
      </w:pPr>
      <w:r>
        <w:t>Appendix D: References</w:t>
      </w:r>
    </w:p>
    <w:p>
      <w:pPr>
        <w:pStyle w:val="ListBullet"/>
      </w:pPr>
      <w:r>
        <w:t>Requirements Validation / Consistency Review</w:t>
      </w:r>
    </w:p>
    <w:p>
      <w:r>
        <w:t>Update page numbers in Word after final formatting.</w:t>
      </w:r>
    </w:p>
    <w:p>
      <w:pPr>
        <w:pStyle w:val="Heading1"/>
      </w:pPr>
      <w:r>
        <w:t>1. Introduction</w:t>
      </w:r>
    </w:p>
    <w:p>
      <w:pPr>
        <w:pStyle w:val="Heading2"/>
      </w:pPr>
      <w:r>
        <w:t>1.1 Purpose</w:t>
      </w:r>
    </w:p>
    <w:p>
      <w:r>
        <w:t>This SRS defines the requirements for RouteX: A Truck Profitability and Delivery Operations Management System, Version 1.0, proposed for Redeemed Route Logistics Inc. It describes expected functions, user access, data requirements, interfaces, security, and quality requirements. It is intended to guide development, testing, client evaluation, and acceptance.</w:t>
      </w:r>
    </w:p>
    <w:p>
      <w:r>
        <w:t>RouteX is an internal web application for recording completed delivery transactions and related financial information, retrieving operational records, managing Proof of Delivery (POD) documents, and reviewing delivery-, truck-, and company-level profitability. It is not a live dispatch or GPS-tracking system.</w:t>
      </w:r>
    </w:p>
    <w:p>
      <w:pPr>
        <w:pStyle w:val="Heading2"/>
      </w:pPr>
      <w:r>
        <w:t>1.2 Document Conventions</w:t>
      </w:r>
    </w:p>
    <w:tbl>
      <w:tblPr>
        <w:tblStyle w:val="TableGrid"/>
        <w:tblW w:type="auto" w:w="0"/>
        <w:jc w:val="center"/>
        <w:tblLook w:firstColumn="1" w:firstRow="1" w:lastColumn="0" w:lastRow="0" w:noHBand="0" w:noVBand="1" w:val="04A0"/>
      </w:tblPr>
      <w:tblGrid>
        <w:gridCol w:w="4968"/>
        <w:gridCol w:w="4968"/>
      </w:tblGrid>
      <w:tr>
        <w:tc>
          <w:tcPr>
            <w:tcW w:type="dxa" w:w="4968"/>
            <w:shd w:fill="233A52"/>
          </w:tcPr>
          <w:p>
            <w:r>
              <w:rPr>
                <w:b/>
                <w:color w:val="FFFFFF"/>
                <w:sz w:val="16"/>
              </w:rPr>
              <w:t>Term / Convention</w:t>
            </w:r>
          </w:p>
        </w:tc>
        <w:tc>
          <w:tcPr>
            <w:tcW w:type="dxa" w:w="4968"/>
            <w:shd w:fill="233A52"/>
          </w:tcPr>
          <w:p>
            <w:r>
              <w:rPr>
                <w:b/>
                <w:color w:val="FFFFFF"/>
                <w:sz w:val="16"/>
              </w:rPr>
              <w:t>Meaning</w:t>
            </w:r>
          </w:p>
        </w:tc>
      </w:tr>
      <w:tr>
        <w:tc>
          <w:tcPr>
            <w:tcW w:type="dxa" w:w="4968"/>
            <w:vAlign w:val="center"/>
            <w:shd w:fill="F2F5F8"/>
          </w:tcPr>
          <w:p>
            <w:pPr>
              <w:spacing w:after="20"/>
            </w:pPr>
            <w:r>
              <w:rPr>
                <w:sz w:val="16"/>
              </w:rPr>
              <w:t>RouteX</w:t>
            </w:r>
          </w:p>
        </w:tc>
        <w:tc>
          <w:tcPr>
            <w:tcW w:type="dxa" w:w="4968"/>
            <w:vAlign w:val="center"/>
            <w:shd w:fill="F2F5F8"/>
          </w:tcPr>
          <w:p>
            <w:pPr>
              <w:spacing w:after="20"/>
            </w:pPr>
            <w:r>
              <w:rPr>
                <w:sz w:val="16"/>
              </w:rPr>
              <w:t>The proposed web-based system described in this SRS.</w:t>
            </w:r>
          </w:p>
        </w:tc>
      </w:tr>
      <w:tr>
        <w:tc>
          <w:tcPr>
            <w:tcW w:type="dxa" w:w="4968"/>
            <w:vAlign w:val="center"/>
          </w:tcPr>
          <w:p>
            <w:pPr>
              <w:spacing w:after="20"/>
            </w:pPr>
            <w:r>
              <w:rPr>
                <w:sz w:val="16"/>
              </w:rPr>
              <w:t>SRS</w:t>
            </w:r>
          </w:p>
        </w:tc>
        <w:tc>
          <w:tcPr>
            <w:tcW w:type="dxa" w:w="4968"/>
            <w:vAlign w:val="center"/>
          </w:tcPr>
          <w:p>
            <w:pPr>
              <w:spacing w:after="20"/>
            </w:pPr>
            <w:r>
              <w:rPr>
                <w:sz w:val="16"/>
              </w:rPr>
              <w:t>Software Requirements Specification.</w:t>
            </w:r>
          </w:p>
        </w:tc>
      </w:tr>
      <w:tr>
        <w:tc>
          <w:tcPr>
            <w:tcW w:type="dxa" w:w="4968"/>
            <w:vAlign w:val="center"/>
            <w:shd w:fill="F2F5F8"/>
          </w:tcPr>
          <w:p>
            <w:pPr>
              <w:spacing w:after="20"/>
            </w:pPr>
            <w:r>
              <w:rPr>
                <w:sz w:val="16"/>
              </w:rPr>
              <w:t>POD</w:t>
            </w:r>
          </w:p>
        </w:tc>
        <w:tc>
          <w:tcPr>
            <w:tcW w:type="dxa" w:w="4968"/>
            <w:vAlign w:val="center"/>
            <w:shd w:fill="F2F5F8"/>
          </w:tcPr>
          <w:p>
            <w:pPr>
              <w:spacing w:after="20"/>
            </w:pPr>
            <w:r>
              <w:rPr>
                <w:sz w:val="16"/>
              </w:rPr>
              <w:t>Proof of Delivery document associated with a delivery.</w:t>
            </w:r>
          </w:p>
        </w:tc>
      </w:tr>
      <w:tr>
        <w:tc>
          <w:tcPr>
            <w:tcW w:type="dxa" w:w="4968"/>
            <w:vAlign w:val="center"/>
          </w:tcPr>
          <w:p>
            <w:pPr>
              <w:spacing w:after="20"/>
            </w:pPr>
            <w:r>
              <w:rPr>
                <w:sz w:val="16"/>
              </w:rPr>
              <w:t>RBAC</w:t>
            </w:r>
          </w:p>
        </w:tc>
        <w:tc>
          <w:tcPr>
            <w:tcW w:type="dxa" w:w="4968"/>
            <w:vAlign w:val="center"/>
          </w:tcPr>
          <w:p>
            <w:pPr>
              <w:spacing w:after="20"/>
            </w:pPr>
            <w:r>
              <w:rPr>
                <w:sz w:val="16"/>
              </w:rPr>
              <w:t>Role-Based Access Control.</w:t>
            </w:r>
          </w:p>
        </w:tc>
      </w:tr>
      <w:tr>
        <w:tc>
          <w:tcPr>
            <w:tcW w:type="dxa" w:w="4968"/>
            <w:vAlign w:val="center"/>
            <w:shd w:fill="F2F5F8"/>
          </w:tcPr>
          <w:p>
            <w:pPr>
              <w:spacing w:after="20"/>
            </w:pPr>
            <w:r>
              <w:rPr>
                <w:sz w:val="16"/>
              </w:rPr>
              <w:t>REQ-XXX / NFR-XXX</w:t>
            </w:r>
          </w:p>
        </w:tc>
        <w:tc>
          <w:tcPr>
            <w:tcW w:type="dxa" w:w="4968"/>
            <w:vAlign w:val="center"/>
            <w:shd w:fill="F2F5F8"/>
          </w:tcPr>
          <w:p>
            <w:pPr>
              <w:spacing w:after="20"/>
            </w:pPr>
            <w:r>
              <w:rPr>
                <w:sz w:val="16"/>
              </w:rPr>
              <w:t>Unique functional / nonfunctional requirement identifiers.</w:t>
            </w:r>
          </w:p>
        </w:tc>
      </w:tr>
      <w:tr>
        <w:tc>
          <w:tcPr>
            <w:tcW w:type="dxa" w:w="4968"/>
            <w:vAlign w:val="center"/>
          </w:tcPr>
          <w:p>
            <w:pPr>
              <w:spacing w:after="20"/>
            </w:pPr>
            <w:r>
              <w:rPr>
                <w:sz w:val="16"/>
              </w:rPr>
              <w:t>Shall / Should / May</w:t>
            </w:r>
          </w:p>
        </w:tc>
        <w:tc>
          <w:tcPr>
            <w:tcW w:type="dxa" w:w="4968"/>
            <w:vAlign w:val="center"/>
          </w:tcPr>
          <w:p>
            <w:pPr>
              <w:spacing w:after="20"/>
            </w:pPr>
            <w:r>
              <w:rPr>
                <w:sz w:val="16"/>
              </w:rPr>
              <w:t>Required / recommended / optional behavior.</w:t>
            </w:r>
          </w:p>
        </w:tc>
      </w:tr>
      <w:tr>
        <w:tc>
          <w:tcPr>
            <w:tcW w:type="dxa" w:w="4968"/>
            <w:vAlign w:val="center"/>
            <w:shd w:fill="F2F5F8"/>
          </w:tcPr>
          <w:p>
            <w:pPr>
              <w:spacing w:after="20"/>
            </w:pPr>
            <w:r>
              <w:rPr>
                <w:sz w:val="16"/>
              </w:rPr>
              <w:t>TBD</w:t>
            </w:r>
          </w:p>
        </w:tc>
        <w:tc>
          <w:tcPr>
            <w:tcW w:type="dxa" w:w="4968"/>
            <w:vAlign w:val="center"/>
            <w:shd w:fill="F2F5F8"/>
          </w:tcPr>
          <w:p>
            <w:pPr>
              <w:spacing w:after="20"/>
            </w:pPr>
            <w:r>
              <w:rPr>
                <w:sz w:val="16"/>
              </w:rPr>
              <w:t>To be determined; requires confirmation.</w:t>
            </w:r>
          </w:p>
        </w:tc>
      </w:tr>
      <w:tr>
        <w:tc>
          <w:tcPr>
            <w:tcW w:type="dxa" w:w="4968"/>
            <w:vAlign w:val="center"/>
          </w:tcPr>
          <w:p>
            <w:pPr>
              <w:spacing w:after="20"/>
            </w:pPr>
            <w:r>
              <w:rPr>
                <w:sz w:val="16"/>
              </w:rPr>
              <w:t>☑ / ☐ / △</w:t>
            </w:r>
          </w:p>
        </w:tc>
        <w:tc>
          <w:tcPr>
            <w:tcW w:type="dxa" w:w="4968"/>
            <w:vAlign w:val="center"/>
          </w:tcPr>
          <w:p>
            <w:pPr>
              <w:spacing w:after="20"/>
            </w:pPr>
            <w:r>
              <w:rPr>
                <w:sz w:val="16"/>
              </w:rPr>
              <w:t>In any alternatives checklist: supported / not supported / partial or unverified; do not treat unverified features as confirmed.</w:t>
            </w:r>
          </w:p>
        </w:tc>
      </w:tr>
    </w:tbl>
    <w:p/>
    <w:p>
      <w:r>
        <w:t>Requirements should be clear, necessary, unambiguous, and verifiable. Priority labels are High, Medium, or TBD when prioritization is not confirmed.</w:t>
      </w:r>
    </w:p>
    <w:p>
      <w:pPr>
        <w:pStyle w:val="Heading2"/>
      </w:pPr>
      <w:r>
        <w:t>1.3 Intended Audience and Reading Suggestions</w:t>
      </w:r>
    </w:p>
    <w:p>
      <w:pPr>
        <w:pStyle w:val="ListBullet"/>
      </w:pPr>
      <w:r>
        <w:t>Client management / President: scope, profitability outputs, business rules, and acceptance criteria.</w:t>
      </w:r>
    </w:p>
    <w:p>
      <w:pPr>
        <w:pStyle w:val="ListBullet"/>
      </w:pPr>
      <w:r>
        <w:t>Operations: delivery entry, truck/crew assignment, timestamps, delivery expenses, and POD handling.</w:t>
      </w:r>
    </w:p>
    <w:p>
      <w:pPr>
        <w:pStyle w:val="ListBullet"/>
      </w:pPr>
      <w:r>
        <w:t>Finance: company expenses, categories, and financial reports.</w:t>
      </w:r>
    </w:p>
    <w:p>
      <w:pPr>
        <w:pStyle w:val="ListBullet"/>
      </w:pPr>
      <w:r>
        <w:t>HR: employee and compensation summaries; this does not assume a complete payroll engine.</w:t>
      </w:r>
    </w:p>
    <w:p>
      <w:pPr>
        <w:pStyle w:val="ListBullet"/>
      </w:pPr>
      <w:r>
        <w:t>Developers: requirements, interfaces, data rules, and technical constraints.</w:t>
      </w:r>
    </w:p>
    <w:p>
      <w:pPr>
        <w:pStyle w:val="ListBullet"/>
      </w:pPr>
      <w:r>
        <w:t>Testers / QA: requirement IDs and acceptance checks.</w:t>
      </w:r>
    </w:p>
    <w:p>
      <w:pPr>
        <w:pStyle w:val="ListBullet"/>
      </w:pPr>
      <w:r>
        <w:t>Project manager / system analyst: TBD items, scope, approvals, and change control.</w:t>
      </w:r>
    </w:p>
    <w:p>
      <w:pPr>
        <w:pStyle w:val="Heading2"/>
      </w:pPr>
      <w:r>
        <w:t>1.4 Product Scope</w:t>
      </w:r>
    </w:p>
    <w:p>
      <w:r>
        <w:t>RouteX will centralize internal delivery and financial records currently handled primarily through Microsoft Excel, basic bookkeeping, and manual communication/documentation. It will support completed-delivery entry, revenue and expense capture, POD storage, search, reports, and profitability analysis.</w:t>
      </w:r>
    </w:p>
    <w:p>
      <w:r>
        <w:t>Proposed differentiator: profitability traceability. Authorized management users can move from company-level results to truck-level performance, individual deliveries, and underlying expense records. This behavior must be validated by the client before being treated as an approved acceptance requirement.</w:t>
      </w:r>
    </w:p>
    <w:p>
      <w:pPr>
        <w:pStyle w:val="Heading2"/>
      </w:pPr>
      <w:r>
        <w:t>1.5 References</w:t>
      </w:r>
    </w:p>
    <w:tbl>
      <w:tblPr>
        <w:tblStyle w:val="TableGrid"/>
        <w:tblW w:type="auto" w:w="0"/>
        <w:jc w:val="center"/>
        <w:tblLook w:firstColumn="1" w:firstRow="1" w:lastColumn="0" w:lastRow="0" w:noHBand="0" w:noVBand="1" w:val="04A0"/>
      </w:tblPr>
      <w:tblGrid>
        <w:gridCol w:w="4968"/>
        <w:gridCol w:w="4968"/>
      </w:tblGrid>
      <w:tr>
        <w:tc>
          <w:tcPr>
            <w:tcW w:type="dxa" w:w="4968"/>
            <w:shd w:fill="233A52"/>
          </w:tcPr>
          <w:p>
            <w:r>
              <w:rPr>
                <w:b/>
                <w:color w:val="FFFFFF"/>
                <w:sz w:val="16"/>
              </w:rPr>
              <w:t>Reference</w:t>
            </w:r>
          </w:p>
        </w:tc>
        <w:tc>
          <w:tcPr>
            <w:tcW w:type="dxa" w:w="4968"/>
            <w:shd w:fill="233A52"/>
          </w:tcPr>
          <w:p>
            <w:r>
              <w:rPr>
                <w:b/>
                <w:color w:val="FFFFFF"/>
                <w:sz w:val="16"/>
              </w:rPr>
              <w:t>Use</w:t>
            </w:r>
          </w:p>
        </w:tc>
      </w:tr>
      <w:tr>
        <w:tc>
          <w:tcPr>
            <w:tcW w:type="dxa" w:w="4968"/>
            <w:vAlign w:val="center"/>
            <w:shd w:fill="F2F5F8"/>
          </w:tcPr>
          <w:p>
            <w:pPr>
              <w:spacing w:after="20"/>
            </w:pPr>
            <w:r>
              <w:rPr>
                <w:sz w:val="16"/>
              </w:rPr>
              <w:t>RouteX_SRS.pdf, Version 1.0 draft, September 26, 2026</w:t>
            </w:r>
          </w:p>
        </w:tc>
        <w:tc>
          <w:tcPr>
            <w:tcW w:type="dxa" w:w="4968"/>
            <w:vAlign w:val="center"/>
            <w:shd w:fill="F2F5F8"/>
          </w:tcPr>
          <w:p>
            <w:pPr>
              <w:spacing w:after="20"/>
            </w:pPr>
            <w:r>
              <w:rPr>
                <w:sz w:val="16"/>
              </w:rPr>
              <w:t>Existing RouteX SRS draft and initial scope/technical requirements.</w:t>
            </w:r>
          </w:p>
        </w:tc>
      </w:tr>
      <w:tr>
        <w:tc>
          <w:tcPr>
            <w:tcW w:type="dxa" w:w="4968"/>
            <w:vAlign w:val="center"/>
          </w:tcPr>
          <w:p>
            <w:pPr>
              <w:spacing w:after="20"/>
            </w:pPr>
            <w:r>
              <w:rPr>
                <w:sz w:val="16"/>
              </w:rPr>
              <w:t>SRS-Template (1).docx</w:t>
            </w:r>
          </w:p>
        </w:tc>
        <w:tc>
          <w:tcPr>
            <w:tcW w:type="dxa" w:w="4968"/>
            <w:vAlign w:val="center"/>
          </w:tcPr>
          <w:p>
            <w:pPr>
              <w:spacing w:after="20"/>
            </w:pPr>
            <w:r>
              <w:rPr>
                <w:sz w:val="16"/>
              </w:rPr>
              <w:t>Structure reference for the SRS and required process models.</w:t>
            </w:r>
          </w:p>
        </w:tc>
      </w:tr>
      <w:tr>
        <w:tc>
          <w:tcPr>
            <w:tcW w:type="dxa" w:w="4968"/>
            <w:vAlign w:val="center"/>
            <w:shd w:fill="F2F5F8"/>
          </w:tcPr>
          <w:p>
            <w:pPr>
              <w:spacing w:after="20"/>
            </w:pPr>
            <w:r>
              <w:rPr>
                <w:sz w:val="16"/>
              </w:rPr>
              <w:t>RouteX Letter of Agreement and related project documents previously provided</w:t>
            </w:r>
          </w:p>
        </w:tc>
        <w:tc>
          <w:tcPr>
            <w:tcW w:type="dxa" w:w="4968"/>
            <w:vAlign w:val="center"/>
            <w:shd w:fill="F2F5F8"/>
          </w:tcPr>
          <w:p>
            <w:pPr>
              <w:spacing w:after="20"/>
            </w:pPr>
            <w:r>
              <w:rPr>
                <w:sz w:val="16"/>
              </w:rPr>
              <w:t>Scope, timeline, support, turnover, and contractual constraints; signed agreement governs.</w:t>
            </w:r>
          </w:p>
        </w:tc>
      </w:tr>
      <w:tr>
        <w:tc>
          <w:tcPr>
            <w:tcW w:type="dxa" w:w="4968"/>
            <w:vAlign w:val="center"/>
          </w:tcPr>
          <w:p>
            <w:pPr>
              <w:spacing w:after="20"/>
            </w:pPr>
            <w:r>
              <w:rPr>
                <w:sz w:val="16"/>
              </w:rPr>
              <w:t>Republic Act No. 10173, Data Privacy Act of 2012</w:t>
            </w:r>
          </w:p>
        </w:tc>
        <w:tc>
          <w:tcPr>
            <w:tcW w:type="dxa" w:w="4968"/>
            <w:vAlign w:val="center"/>
          </w:tcPr>
          <w:p>
            <w:pPr>
              <w:spacing w:after="20"/>
            </w:pPr>
            <w:r>
              <w:rPr>
                <w:sz w:val="16"/>
              </w:rPr>
              <w:t>Privacy and personal-data protection context; implementation requires appropriate review.</w:t>
            </w:r>
          </w:p>
        </w:tc>
      </w:tr>
    </w:tbl>
    <w:p/>
    <w:p>
      <w:pPr>
        <w:pStyle w:val="Heading1"/>
      </w:pPr>
      <w:r>
        <w:t>2. Overall Description</w:t>
      </w:r>
    </w:p>
    <w:p>
      <w:pPr>
        <w:pStyle w:val="Heading2"/>
      </w:pPr>
      <w:r>
        <w:t>2.1 Product Perspective</w:t>
      </w:r>
    </w:p>
    <w:p>
      <w:r>
        <w:t>RouteX is a new, centralized, web-based internal system. It improves retrieval and analysis of operational and financial information; it is not intended to replace all accounting processes. Staff enter and maintain records while the system organizes records, calculates approved profitability measures, supports searching, and generates reports.</w:t>
      </w:r>
    </w:p>
    <w:p>
      <w:r>
        <w:t>High-level workflow: Operations records completed deliveries and delivery-associated data; Finance records company expenses not assigned to a delivery; HR maintains employee/compensation summaries within approved scope; RouteX stores records and POD files; authorized management reviews reports.</w:t>
      </w:r>
    </w:p>
    <w:p>
      <w:pPr>
        <w:pStyle w:val="Heading2"/>
      </w:pPr>
      <w:r>
        <w:t>2.2 Product Functions</w:t>
      </w:r>
    </w:p>
    <w:p>
      <w:pPr>
        <w:pStyle w:val="ListBullet"/>
      </w:pPr>
      <w:r>
        <w:t>Authentication and role-based access.</w:t>
      </w:r>
    </w:p>
    <w:p>
      <w:pPr>
        <w:pStyle w:val="ListBullet"/>
      </w:pPr>
      <w:r>
        <w:t>Delivery records, truck/crew assignment, timestamps, revenue, delivery costs, and POD files.</w:t>
      </w:r>
    </w:p>
    <w:p>
      <w:pPr>
        <w:pStyle w:val="ListBullet"/>
      </w:pPr>
      <w:r>
        <w:t>Fleet/truck records and truck-linked delivery history.</w:t>
      </w:r>
    </w:p>
    <w:p>
      <w:pPr>
        <w:pStyle w:val="ListBullet"/>
      </w:pPr>
      <w:r>
        <w:t>Company expense and category records maintained by Finance.</w:t>
      </w:r>
    </w:p>
    <w:p>
      <w:pPr>
        <w:pStyle w:val="ListBullet"/>
      </w:pPr>
      <w:r>
        <w:t>Employee and compensation summaries maintained by HR, subject to confirmed rules.</w:t>
      </w:r>
    </w:p>
    <w:p>
      <w:pPr>
        <w:pStyle w:val="ListBullet"/>
      </w:pPr>
      <w:r>
        <w:t>Search and filtering across delivery, truck, client, driver, date, transaction, and POD records.</w:t>
      </w:r>
    </w:p>
    <w:p>
      <w:pPr>
        <w:pStyle w:val="ListBullet"/>
      </w:pPr>
      <w:r>
        <w:t>Delivery-, truck-, and company-level profitability reports and operational/financial exports.</w:t>
      </w:r>
    </w:p>
    <w:p>
      <w:pPr>
        <w:pStyle w:val="ListBullet"/>
      </w:pPr>
      <w:r>
        <w:t>Activity logs/audit trails for important record and access events.</w:t>
      </w:r>
    </w:p>
    <w:p>
      <w:pPr>
        <w:pStyle w:val="Heading2"/>
      </w:pPr>
      <w:r>
        <w:t>2.3 User Classes and Characteristics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33A52"/>
          </w:tcPr>
          <w:p>
            <w:r>
              <w:rPr>
                <w:b/>
                <w:color w:val="FFFFFF"/>
                <w:sz w:val="16"/>
              </w:rPr>
              <w:t>User Class</w:t>
            </w:r>
          </w:p>
        </w:tc>
        <w:tc>
          <w:tcPr>
            <w:tcW w:type="dxa" w:w="3312"/>
            <w:shd w:fill="233A52"/>
          </w:tcPr>
          <w:p>
            <w:r>
              <w:rPr>
                <w:b/>
                <w:color w:val="FFFFFF"/>
                <w:sz w:val="16"/>
              </w:rPr>
              <w:t>Responsibilities</w:t>
            </w:r>
          </w:p>
        </w:tc>
        <w:tc>
          <w:tcPr>
            <w:tcW w:type="dxa" w:w="3312"/>
            <w:shd w:fill="233A52"/>
          </w:tcPr>
          <w:p>
            <w:r>
              <w:rPr>
                <w:b/>
                <w:color w:val="FFFFFF"/>
                <w:sz w:val="16"/>
              </w:rPr>
              <w:t>Access Principle</w:t>
            </w:r>
          </w:p>
        </w:tc>
      </w:tr>
      <w:tr>
        <w:tc>
          <w:tcPr>
            <w:tcW w:type="dxa" w:w="3312"/>
            <w:vAlign w:val="center"/>
            <w:shd w:fill="F2F5F8"/>
          </w:tcPr>
          <w:p>
            <w:pPr>
              <w:spacing w:after="20"/>
            </w:pPr>
            <w:r>
              <w:rPr>
                <w:sz w:val="16"/>
              </w:rPr>
              <w:t>Operations</w:t>
            </w:r>
          </w:p>
        </w:tc>
        <w:tc>
          <w:tcPr>
            <w:tcW w:type="dxa" w:w="3312"/>
            <w:vAlign w:val="center"/>
            <w:shd w:fill="F2F5F8"/>
          </w:tcPr>
          <w:p>
            <w:pPr>
              <w:spacing w:after="20"/>
            </w:pPr>
            <w:r>
              <w:rPr>
                <w:sz w:val="16"/>
              </w:rPr>
              <w:t>Record completed deliveries; assign truck/driver/helpers; maintain delivery data and POD.</w:t>
            </w:r>
          </w:p>
        </w:tc>
        <w:tc>
          <w:tcPr>
            <w:tcW w:type="dxa" w:w="3312"/>
            <w:vAlign w:val="center"/>
            <w:shd w:fill="F2F5F8"/>
          </w:tcPr>
          <w:p>
            <w:pPr>
              <w:spacing w:after="20"/>
            </w:pPr>
            <w:r>
              <w:rPr>
                <w:sz w:val="16"/>
              </w:rPr>
              <w:t>Create/update operational records according to permissions.</w:t>
            </w:r>
          </w:p>
        </w:tc>
      </w:tr>
      <w:tr>
        <w:tc>
          <w:tcPr>
            <w:tcW w:type="dxa" w:w="3312"/>
            <w:vAlign w:val="center"/>
          </w:tcPr>
          <w:p>
            <w:pPr>
              <w:spacing w:after="20"/>
            </w:pPr>
            <w:r>
              <w:rPr>
                <w:sz w:val="16"/>
              </w:rPr>
              <w:t>Finance</w:t>
            </w:r>
          </w:p>
        </w:tc>
        <w:tc>
          <w:tcPr>
            <w:tcW w:type="dxa" w:w="3312"/>
            <w:vAlign w:val="center"/>
          </w:tcPr>
          <w:p>
            <w:pPr>
              <w:spacing w:after="20"/>
            </w:pPr>
            <w:r>
              <w:rPr>
                <w:sz w:val="16"/>
              </w:rPr>
              <w:t>Record company expenses not directly associated with a delivery; manage approved categories.</w:t>
            </w:r>
          </w:p>
        </w:tc>
        <w:tc>
          <w:tcPr>
            <w:tcW w:type="dxa" w:w="3312"/>
            <w:vAlign w:val="center"/>
          </w:tcPr>
          <w:p>
            <w:pPr>
              <w:spacing w:after="20"/>
            </w:pPr>
            <w:r>
              <w:rPr>
                <w:sz w:val="16"/>
              </w:rPr>
              <w:t>Finance access does not automatically grant HR or admin permissions.</w:t>
            </w:r>
          </w:p>
        </w:tc>
      </w:tr>
      <w:tr>
        <w:tc>
          <w:tcPr>
            <w:tcW w:type="dxa" w:w="3312"/>
            <w:vAlign w:val="center"/>
            <w:shd w:fill="F2F5F8"/>
          </w:tcPr>
          <w:p>
            <w:pPr>
              <w:spacing w:after="20"/>
            </w:pPr>
            <w:r>
              <w:rPr>
                <w:sz w:val="16"/>
              </w:rPr>
              <w:t>HR</w:t>
            </w:r>
          </w:p>
        </w:tc>
        <w:tc>
          <w:tcPr>
            <w:tcW w:type="dxa" w:w="3312"/>
            <w:vAlign w:val="center"/>
            <w:shd w:fill="F2F5F8"/>
          </w:tcPr>
          <w:p>
            <w:pPr>
              <w:spacing w:after="20"/>
            </w:pPr>
            <w:r>
              <w:rPr>
                <w:sz w:val="16"/>
              </w:rPr>
              <w:t>Maintain employee records and approved compensation/payable summaries.</w:t>
            </w:r>
          </w:p>
        </w:tc>
        <w:tc>
          <w:tcPr>
            <w:tcW w:type="dxa" w:w="3312"/>
            <w:vAlign w:val="center"/>
            <w:shd w:fill="F2F5F8"/>
          </w:tcPr>
          <w:p>
            <w:pPr>
              <w:spacing w:after="20"/>
            </w:pPr>
            <w:r>
              <w:rPr>
                <w:sz w:val="16"/>
              </w:rPr>
              <w:t>HR-related records only; no assumed full payroll engine.</w:t>
            </w:r>
          </w:p>
        </w:tc>
      </w:tr>
      <w:tr>
        <w:tc>
          <w:tcPr>
            <w:tcW w:type="dxa" w:w="3312"/>
            <w:vAlign w:val="center"/>
          </w:tcPr>
          <w:p>
            <w:pPr>
              <w:spacing w:after="20"/>
            </w:pPr>
            <w:r>
              <w:rPr>
                <w:sz w:val="16"/>
              </w:rPr>
              <w:t>President / Management</w:t>
            </w:r>
          </w:p>
        </w:tc>
        <w:tc>
          <w:tcPr>
            <w:tcW w:type="dxa" w:w="3312"/>
            <w:vAlign w:val="center"/>
          </w:tcPr>
          <w:p>
            <w:pPr>
              <w:spacing w:after="20"/>
            </w:pPr>
            <w:r>
              <w:rPr>
                <w:sz w:val="16"/>
              </w:rPr>
              <w:t>Review dashboard, search, profitability drill-down, and reports.</w:t>
            </w:r>
          </w:p>
        </w:tc>
        <w:tc>
          <w:tcPr>
            <w:tcW w:type="dxa" w:w="3312"/>
            <w:vAlign w:val="center"/>
          </w:tcPr>
          <w:p>
            <w:pPr>
              <w:spacing w:after="20"/>
            </w:pPr>
            <w:r>
              <w:rPr>
                <w:sz w:val="16"/>
              </w:rPr>
              <w:t>Review access; editing rights require explicit approval.</w:t>
            </w:r>
          </w:p>
        </w:tc>
      </w:tr>
      <w:tr>
        <w:tc>
          <w:tcPr>
            <w:tcW w:type="dxa" w:w="3312"/>
            <w:vAlign w:val="center"/>
            <w:shd w:fill="F2F5F8"/>
          </w:tcPr>
          <w:p>
            <w:pPr>
              <w:spacing w:after="20"/>
            </w:pPr>
            <w:r>
              <w:rPr>
                <w:sz w:val="16"/>
              </w:rPr>
              <w:t>Administrator</w:t>
            </w:r>
          </w:p>
        </w:tc>
        <w:tc>
          <w:tcPr>
            <w:tcW w:type="dxa" w:w="3312"/>
            <w:vAlign w:val="center"/>
            <w:shd w:fill="F2F5F8"/>
          </w:tcPr>
          <w:p>
            <w:pPr>
              <w:spacing w:after="20"/>
            </w:pPr>
            <w:r>
              <w:rPr>
                <w:sz w:val="16"/>
              </w:rPr>
              <w:t>Manage accounts, roles, permissions, and authorized audit-log access.</w:t>
            </w:r>
          </w:p>
        </w:tc>
        <w:tc>
          <w:tcPr>
            <w:tcW w:type="dxa" w:w="3312"/>
            <w:vAlign w:val="center"/>
            <w:shd w:fill="F2F5F8"/>
          </w:tcPr>
          <w:p>
            <w:pPr>
              <w:spacing w:after="20"/>
            </w:pPr>
            <w:r>
              <w:rPr>
                <w:sz w:val="16"/>
              </w:rPr>
              <w:t>Admin status alone does not grant financial-edit rights.</w:t>
            </w:r>
          </w:p>
        </w:tc>
      </w:tr>
    </w:tbl>
    <w:p/>
    <w:p>
      <w:pPr>
        <w:pStyle w:val="Heading2"/>
      </w:pPr>
      <w:r>
        <w:t>2.4 Operating Environment</w:t>
      </w:r>
    </w:p>
    <w:p>
      <w:pPr>
        <w:pStyle w:val="ListBullet"/>
      </w:pPr>
      <w:r>
        <w:t>Web application accessed through a modern browser with a stable internet connection.</w:t>
      </w:r>
    </w:p>
    <w:p>
      <w:pPr>
        <w:pStyle w:val="ListBullet"/>
      </w:pPr>
      <w:r>
        <w:t>Proposed hosting: Vercel; database: PostgreSQL through Supabase; files: Supabase Storage.</w:t>
      </w:r>
    </w:p>
    <w:p>
      <w:pPr>
        <w:pStyle w:val="ListBullet"/>
      </w:pPr>
      <w:r>
        <w:t>Proposed stack: Next.js App Router, React, TypeScript, Tailwind CSS, shadcn/ui, Lucide React, Next.js Server Actions/Route Handlers, Auth.js.</w:t>
      </w:r>
    </w:p>
    <w:p>
      <w:pPr>
        <w:pStyle w:val="ListBullet"/>
      </w:pPr>
      <w:r>
        <w:t>Hosting ownership, production plan, recurring-cost payer, backup setup, and Auth.js/Supabase integration require confirmation.</w:t>
      </w:r>
    </w:p>
    <w:p>
      <w:pPr>
        <w:pStyle w:val="Heading2"/>
      </w:pPr>
      <w:r>
        <w:t>2.5 Design and Implementation Constraints</w:t>
      </w:r>
    </w:p>
    <w:p>
      <w:pPr>
        <w:pStyle w:val="ListBullet"/>
      </w:pPr>
      <w:r>
        <w:t>Implement one Next.js application; no separate backend application is currently in scope.</w:t>
      </w:r>
    </w:p>
    <w:p>
      <w:pPr>
        <w:pStyle w:val="ListBullet"/>
      </w:pPr>
      <w:r>
        <w:t>Use PostgreSQL through Supabase; Prisma is not part of the agreed stack.</w:t>
      </w:r>
    </w:p>
    <w:p>
      <w:pPr>
        <w:pStyle w:val="ListBullet"/>
      </w:pPr>
      <w:r>
        <w:t>Enforce authorization server-side for protected data and actions.</w:t>
      </w:r>
    </w:p>
    <w:p>
      <w:pPr>
        <w:pStyle w:val="ListBullet"/>
      </w:pPr>
      <w:r>
        <w:t>POD/supporting documents must not be exposed through unrestricted public URLs without explicit approval.</w:t>
      </w:r>
    </w:p>
    <w:p>
      <w:pPr>
        <w:pStyle w:val="ListBullet"/>
      </w:pPr>
      <w:r>
        <w:t>Secrets and service-role credentials must remain server-side and never be exposed to browser code.</w:t>
      </w:r>
    </w:p>
    <w:p>
      <w:pPr>
        <w:pStyle w:val="ListBullet"/>
      </w:pPr>
      <w:r>
        <w:t>Out of scope unless separately approved: live GPS, tracking integrations, dispatch optimization, customer portal, full accounting replacement, tax filing, full payroll, attendance, payslips, automated bank payments, predictive maintenance, and unapproved integrations.</w:t>
      </w:r>
    </w:p>
    <w:p>
      <w:pPr>
        <w:pStyle w:val="ListBullet"/>
      </w:pPr>
      <w:r>
        <w:t>File types/size limits, retention, performance thresholds, and hosting tier remain TBD.</w:t>
      </w:r>
    </w:p>
    <w:p>
      <w:pPr>
        <w:pStyle w:val="Heading2"/>
      </w:pPr>
      <w:r>
        <w:t>2.6 User Documentation</w:t>
      </w:r>
    </w:p>
    <w:p>
      <w:pPr>
        <w:pStyle w:val="ListBullet"/>
      </w:pPr>
      <w:r>
        <w:t>Digital user manual for delivery records, POD, search, reports, and role-specific tasks.</w:t>
      </w:r>
    </w:p>
    <w:p>
      <w:pPr>
        <w:pStyle w:val="ListBullet"/>
      </w:pPr>
      <w:r>
        <w:t>User orientation/training materials for turnover.</w:t>
      </w:r>
    </w:p>
    <w:p>
      <w:pPr>
        <w:pStyle w:val="ListBullet"/>
      </w:pPr>
      <w:r>
        <w:t>Technical documentation reflecting the final implemented system.</w:t>
      </w:r>
    </w:p>
    <w:p>
      <w:pPr>
        <w:pStyle w:val="Heading2"/>
      </w:pPr>
      <w:r>
        <w:t>2.7 Assumptions and Dependencies</w:t>
      </w:r>
    </w:p>
    <w:p>
      <w:pPr>
        <w:pStyle w:val="ListBullet"/>
      </w:pPr>
      <w:r>
        <w:t>Client provides workflow details, expense categories, sample records, financial rules, and timely feedback.</w:t>
      </w:r>
    </w:p>
    <w:p>
      <w:pPr>
        <w:pStyle w:val="ListBullet"/>
      </w:pPr>
      <w:r>
        <w:t>Users enter complete and accurate records and safeguard credentials.</w:t>
      </w:r>
    </w:p>
    <w:p>
      <w:pPr>
        <w:pStyle w:val="ListBullet"/>
      </w:pPr>
      <w:r>
        <w:t>Only authorized personnel receive accounts.</w:t>
      </w:r>
    </w:p>
    <w:p>
      <w:pPr>
        <w:pStyle w:val="ListBullet"/>
      </w:pPr>
      <w:r>
        <w:t>Cloud hosting, database, storage, and authentication services are available and configured securely.</w:t>
      </w:r>
    </w:p>
    <w:p>
      <w:pPr>
        <w:pStyle w:val="ListBullet"/>
      </w:pPr>
      <w:r>
        <w:t>The signed Letter of Agreement and approved changes govern scope and deadlines.</w:t>
      </w:r>
    </w:p>
    <w:p>
      <w:pPr>
        <w:pStyle w:val="ListBullet"/>
      </w:pPr>
      <w:r>
        <w:t>Profitability drill-down and POD completeness cue are proposed and require client validation.</w:t>
      </w:r>
    </w:p>
    <w:p>
      <w:pPr>
        <w:pStyle w:val="Heading1"/>
      </w:pPr>
      <w:r>
        <w:t>3. External Interface Requirements</w:t>
      </w:r>
    </w:p>
    <w:p>
      <w:pPr>
        <w:pStyle w:val="Heading2"/>
      </w:pPr>
      <w:r>
        <w:t>3.1 User Interfaces</w:t>
      </w:r>
    </w:p>
    <w:p>
      <w:pPr>
        <w:pStyle w:val="ListBullet"/>
      </w:pPr>
      <w:r>
        <w:t>Provide login and role-appropriate navigation for dashboard, deliveries, fleet, financial records, profitability analysis, search, reports, and access administration.</w:t>
      </w:r>
    </w:p>
    <w:p>
      <w:pPr>
        <w:pStyle w:val="ListBullet"/>
      </w:pPr>
      <w:r>
        <w:t>Use clearly labelled tables with sorting/filtering/pagination where appropriate.</w:t>
      </w:r>
    </w:p>
    <w:p>
      <w:pPr>
        <w:pStyle w:val="ListBullet"/>
      </w:pPr>
      <w:r>
        <w:t>Forms shall identify required fields and provide validation messages and save/cancel behavior.</w:t>
      </w:r>
    </w:p>
    <w:p>
      <w:pPr>
        <w:pStyle w:val="ListBullet"/>
      </w:pPr>
      <w:r>
        <w:t>Confirm destructive actions; provide useful error messages without exposing secrets or sensitive technical details.</w:t>
      </w:r>
    </w:p>
    <w:p>
      <w:pPr>
        <w:pStyle w:val="ListBullet"/>
      </w:pPr>
      <w:r>
        <w:t>Search supports approved identifiers and filters.</w:t>
      </w:r>
    </w:p>
    <w:p>
      <w:pPr>
        <w:pStyle w:val="ListBullet"/>
      </w:pPr>
      <w:r>
        <w:t>Profitability views distinguish revenue, expenses, profit, margin percentage, and reporting period.</w:t>
      </w:r>
    </w:p>
    <w:p>
      <w:pPr>
        <w:pStyle w:val="ListBullet"/>
      </w:pPr>
      <w:r>
        <w:t>Exact screen layouts and responsive breakpoints are UI-design details to be confirmed.</w:t>
      </w:r>
    </w:p>
    <w:p>
      <w:pPr>
        <w:pStyle w:val="Heading2"/>
      </w:pPr>
      <w:r>
        <w:t>3.2 Hardware Interfaces</w:t>
      </w:r>
    </w:p>
    <w:p>
      <w:r>
        <w:t>No direct hardware-device integration is required. Users access RouteX through a computer and browser with internet access. The existing draft proposes a dual-core 2.0 GHz processor, 8 GB RAM, 1 GB available storage, and 1366 × 768 display resolution; validate these baseline figures against actual browser and deployment needs.</w:t>
      </w:r>
    </w:p>
    <w:p>
      <w:pPr>
        <w:pStyle w:val="Heading2"/>
      </w:pPr>
      <w:r>
        <w:t>3.3 Software Interfaces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33A52"/>
          </w:tcPr>
          <w:p>
            <w:r>
              <w:rPr>
                <w:b/>
                <w:color w:val="FFFFFF"/>
                <w:sz w:val="16"/>
              </w:rPr>
              <w:t>Interface</w:t>
            </w:r>
          </w:p>
        </w:tc>
        <w:tc>
          <w:tcPr>
            <w:tcW w:type="dxa" w:w="3312"/>
            <w:shd w:fill="233A52"/>
          </w:tcPr>
          <w:p>
            <w:r>
              <w:rPr>
                <w:b/>
                <w:color w:val="FFFFFF"/>
                <w:sz w:val="16"/>
              </w:rPr>
              <w:t>Purpose / Data</w:t>
            </w:r>
          </w:p>
        </w:tc>
        <w:tc>
          <w:tcPr>
            <w:tcW w:type="dxa" w:w="3312"/>
            <w:shd w:fill="233A52"/>
          </w:tcPr>
          <w:p>
            <w:r>
              <w:rPr>
                <w:b/>
                <w:color w:val="FFFFFF"/>
                <w:sz w:val="16"/>
              </w:rPr>
              <w:t>Status</w:t>
            </w:r>
          </w:p>
        </w:tc>
      </w:tr>
      <w:tr>
        <w:tc>
          <w:tcPr>
            <w:tcW w:type="dxa" w:w="3312"/>
            <w:vAlign w:val="center"/>
            <w:shd w:fill="F2F5F8"/>
          </w:tcPr>
          <w:p>
            <w:pPr>
              <w:spacing w:after="20"/>
            </w:pPr>
            <w:r>
              <w:rPr>
                <w:sz w:val="16"/>
              </w:rPr>
              <w:t>Next.js / React / TypeScript</w:t>
            </w:r>
          </w:p>
        </w:tc>
        <w:tc>
          <w:tcPr>
            <w:tcW w:type="dxa" w:w="3312"/>
            <w:vAlign w:val="center"/>
            <w:shd w:fill="F2F5F8"/>
          </w:tcPr>
          <w:p>
            <w:pPr>
              <w:spacing w:after="20"/>
            </w:pPr>
            <w:r>
              <w:rPr>
                <w:sz w:val="16"/>
              </w:rPr>
              <w:t>Web UI and application logic.</w:t>
            </w:r>
          </w:p>
        </w:tc>
        <w:tc>
          <w:tcPr>
            <w:tcW w:type="dxa" w:w="3312"/>
            <w:vAlign w:val="center"/>
            <w:shd w:fill="F2F5F8"/>
          </w:tcPr>
          <w:p>
            <w:pPr>
              <w:spacing w:after="20"/>
            </w:pPr>
            <w:r>
              <w:rPr>
                <w:sz w:val="16"/>
              </w:rPr>
              <w:t>Proposed stack.</w:t>
            </w:r>
          </w:p>
        </w:tc>
      </w:tr>
      <w:tr>
        <w:tc>
          <w:tcPr>
            <w:tcW w:type="dxa" w:w="3312"/>
            <w:vAlign w:val="center"/>
          </w:tcPr>
          <w:p>
            <w:pPr>
              <w:spacing w:after="20"/>
            </w:pPr>
            <w:r>
              <w:rPr>
                <w:sz w:val="16"/>
              </w:rPr>
              <w:t>Server Actions / Route Handlers</w:t>
            </w:r>
          </w:p>
        </w:tc>
        <w:tc>
          <w:tcPr>
            <w:tcW w:type="dxa" w:w="3312"/>
            <w:vAlign w:val="center"/>
          </w:tcPr>
          <w:p>
            <w:pPr>
              <w:spacing w:after="20"/>
            </w:pPr>
            <w:r>
              <w:rPr>
                <w:sz w:val="16"/>
              </w:rPr>
              <w:t>Server-side mutations and request handling.</w:t>
            </w:r>
          </w:p>
        </w:tc>
        <w:tc>
          <w:tcPr>
            <w:tcW w:type="dxa" w:w="3312"/>
            <w:vAlign w:val="center"/>
          </w:tcPr>
          <w:p>
            <w:pPr>
              <w:spacing w:after="20"/>
            </w:pPr>
            <w:r>
              <w:rPr>
                <w:sz w:val="16"/>
              </w:rPr>
              <w:t>Exact API boundaries TBD.</w:t>
            </w:r>
          </w:p>
        </w:tc>
      </w:tr>
      <w:tr>
        <w:tc>
          <w:tcPr>
            <w:tcW w:type="dxa" w:w="3312"/>
            <w:vAlign w:val="center"/>
            <w:shd w:fill="F2F5F8"/>
          </w:tcPr>
          <w:p>
            <w:pPr>
              <w:spacing w:after="20"/>
            </w:pPr>
            <w:r>
              <w:rPr>
                <w:sz w:val="16"/>
              </w:rPr>
              <w:t>PostgreSQL via Supabase</w:t>
            </w:r>
          </w:p>
        </w:tc>
        <w:tc>
          <w:tcPr>
            <w:tcW w:type="dxa" w:w="3312"/>
            <w:vAlign w:val="center"/>
            <w:shd w:fill="F2F5F8"/>
          </w:tcPr>
          <w:p>
            <w:pPr>
              <w:spacing w:after="20"/>
            </w:pPr>
            <w:r>
              <w:rPr>
                <w:sz w:val="16"/>
              </w:rPr>
              <w:t>Delivery, truck, user, expense, and related records.</w:t>
            </w:r>
          </w:p>
        </w:tc>
        <w:tc>
          <w:tcPr>
            <w:tcW w:type="dxa" w:w="3312"/>
            <w:vAlign w:val="center"/>
            <w:shd w:fill="F2F5F8"/>
          </w:tcPr>
          <w:p>
            <w:pPr>
              <w:spacing w:after="20"/>
            </w:pPr>
            <w:r>
              <w:rPr>
                <w:sz w:val="16"/>
              </w:rPr>
              <w:t>Proposed stack.</w:t>
            </w:r>
          </w:p>
        </w:tc>
      </w:tr>
      <w:tr>
        <w:tc>
          <w:tcPr>
            <w:tcW w:type="dxa" w:w="3312"/>
            <w:vAlign w:val="center"/>
          </w:tcPr>
          <w:p>
            <w:pPr>
              <w:spacing w:after="20"/>
            </w:pPr>
            <w:r>
              <w:rPr>
                <w:sz w:val="16"/>
              </w:rPr>
              <w:t>Supabase Storage</w:t>
            </w:r>
          </w:p>
        </w:tc>
        <w:tc>
          <w:tcPr>
            <w:tcW w:type="dxa" w:w="3312"/>
            <w:vAlign w:val="center"/>
          </w:tcPr>
          <w:p>
            <w:pPr>
              <w:spacing w:after="20"/>
            </w:pPr>
            <w:r>
              <w:rPr>
                <w:sz w:val="16"/>
              </w:rPr>
              <w:t>POD and supporting files.</w:t>
            </w:r>
          </w:p>
        </w:tc>
        <w:tc>
          <w:tcPr>
            <w:tcW w:type="dxa" w:w="3312"/>
            <w:vAlign w:val="center"/>
          </w:tcPr>
          <w:p>
            <w:pPr>
              <w:spacing w:after="20"/>
            </w:pPr>
            <w:r>
              <w:rPr>
                <w:sz w:val="16"/>
              </w:rPr>
              <w:t>Private-access policy and limits TBD.</w:t>
            </w:r>
          </w:p>
        </w:tc>
      </w:tr>
      <w:tr>
        <w:tc>
          <w:tcPr>
            <w:tcW w:type="dxa" w:w="3312"/>
            <w:vAlign w:val="center"/>
            <w:shd w:fill="F2F5F8"/>
          </w:tcPr>
          <w:p>
            <w:pPr>
              <w:spacing w:after="20"/>
            </w:pPr>
            <w:r>
              <w:rPr>
                <w:sz w:val="16"/>
              </w:rPr>
              <w:t>Auth.js</w:t>
            </w:r>
          </w:p>
        </w:tc>
        <w:tc>
          <w:tcPr>
            <w:tcW w:type="dxa" w:w="3312"/>
            <w:vAlign w:val="center"/>
            <w:shd w:fill="F2F5F8"/>
          </w:tcPr>
          <w:p>
            <w:pPr>
              <w:spacing w:after="20"/>
            </w:pPr>
            <w:r>
              <w:rPr>
                <w:sz w:val="16"/>
              </w:rPr>
              <w:t>Authentication and sessions.</w:t>
            </w:r>
          </w:p>
        </w:tc>
        <w:tc>
          <w:tcPr>
            <w:tcW w:type="dxa" w:w="3312"/>
            <w:vAlign w:val="center"/>
            <w:shd w:fill="F2F5F8"/>
          </w:tcPr>
          <w:p>
            <w:pPr>
              <w:spacing w:after="20"/>
            </w:pPr>
            <w:r>
              <w:rPr>
                <w:sz w:val="16"/>
              </w:rPr>
              <w:t>Technical spike required.</w:t>
            </w:r>
          </w:p>
        </w:tc>
      </w:tr>
      <w:tr>
        <w:tc>
          <w:tcPr>
            <w:tcW w:type="dxa" w:w="3312"/>
            <w:vAlign w:val="center"/>
          </w:tcPr>
          <w:p>
            <w:pPr>
              <w:spacing w:after="20"/>
            </w:pPr>
            <w:r>
              <w:rPr>
                <w:sz w:val="16"/>
              </w:rPr>
              <w:t>Vercel</w:t>
            </w:r>
          </w:p>
        </w:tc>
        <w:tc>
          <w:tcPr>
            <w:tcW w:type="dxa" w:w="3312"/>
            <w:vAlign w:val="center"/>
          </w:tcPr>
          <w:p>
            <w:pPr>
              <w:spacing w:after="20"/>
            </w:pPr>
            <w:r>
              <w:rPr>
                <w:sz w:val="16"/>
              </w:rPr>
              <w:t>Application deployment.</w:t>
            </w:r>
          </w:p>
        </w:tc>
        <w:tc>
          <w:tcPr>
            <w:tcW w:type="dxa" w:w="3312"/>
            <w:vAlign w:val="center"/>
          </w:tcPr>
          <w:p>
            <w:pPr>
              <w:spacing w:after="20"/>
            </w:pPr>
            <w:r>
              <w:rPr>
                <w:sz w:val="16"/>
              </w:rPr>
              <w:t>Account owner, plan, and cost payer TBD.</w:t>
            </w:r>
          </w:p>
        </w:tc>
      </w:tr>
      <w:tr>
        <w:tc>
          <w:tcPr>
            <w:tcW w:type="dxa" w:w="3312"/>
            <w:vAlign w:val="center"/>
            <w:shd w:fill="F2F5F8"/>
          </w:tcPr>
          <w:p>
            <w:pPr>
              <w:spacing w:after="20"/>
            </w:pPr>
            <w:r>
              <w:rPr>
                <w:sz w:val="16"/>
              </w:rPr>
              <w:t>CSV/PDF or other exports</w:t>
            </w:r>
          </w:p>
        </w:tc>
        <w:tc>
          <w:tcPr>
            <w:tcW w:type="dxa" w:w="3312"/>
            <w:vAlign w:val="center"/>
            <w:shd w:fill="F2F5F8"/>
          </w:tcPr>
          <w:p>
            <w:pPr>
              <w:spacing w:after="20"/>
            </w:pPr>
            <w:r>
              <w:rPr>
                <w:sz w:val="16"/>
              </w:rPr>
              <w:t>Printable/exportable reports.</w:t>
            </w:r>
          </w:p>
        </w:tc>
        <w:tc>
          <w:tcPr>
            <w:tcW w:type="dxa" w:w="3312"/>
            <w:vAlign w:val="center"/>
            <w:shd w:fill="F2F5F8"/>
          </w:tcPr>
          <w:p>
            <w:pPr>
              <w:spacing w:after="20"/>
            </w:pPr>
            <w:r>
              <w:rPr>
                <w:sz w:val="16"/>
              </w:rPr>
              <w:t>Formats and limits TBD.</w:t>
            </w:r>
          </w:p>
        </w:tc>
      </w:tr>
    </w:tbl>
    <w:p/>
    <w:p>
      <w:pPr>
        <w:pStyle w:val="Heading2"/>
      </w:pPr>
      <w:r>
        <w:t>3.4 Communications Interfaces</w:t>
      </w:r>
    </w:p>
    <w:p>
      <w:pPr>
        <w:pStyle w:val="ListBullet"/>
      </w:pPr>
      <w:r>
        <w:t>Production traffic shall use HTTPS/TLS.</w:t>
      </w:r>
    </w:p>
    <w:p>
      <w:pPr>
        <w:pStyle w:val="ListBullet"/>
      </w:pPr>
      <w:r>
        <w:t>Browser, application, database, and storage communications shall use secure supported interfaces.</w:t>
      </w:r>
    </w:p>
    <w:p>
      <w:pPr>
        <w:pStyle w:val="ListBullet"/>
      </w:pPr>
      <w:r>
        <w:t>No external customer-facing API or third-party business integration is currently in scope.</w:t>
      </w:r>
    </w:p>
    <w:p>
      <w:pPr>
        <w:pStyle w:val="ListBullet"/>
      </w:pPr>
      <w:r>
        <w:t>Email, SMS, and messaging integrations are excluded unless separately approved.</w:t>
      </w:r>
    </w:p>
    <w:p>
      <w:pPr>
        <w:pStyle w:val="Heading1"/>
      </w:pPr>
      <w:r>
        <w:t>4. System Features and Functional Requirements</w:t>
      </w:r>
    </w:p>
    <w:p>
      <w:r>
        <w:t>Priority key: High = core purpose; Medium = supporting capability; TBD = requires client confirmation. Acceptance checks are test criteria, not claims that the feature is already implemented.</w:t>
      </w:r>
    </w:p>
    <w:p>
      <w:pPr>
        <w:pStyle w:val="Heading2"/>
      </w:pPr>
      <w:r>
        <w:t>4.1 Authentication and Access Control</w:t>
      </w:r>
    </w:p>
    <w:p>
      <w:r>
        <w:t>Description: Authentication and Access Control. Priority: High.</w:t>
      </w:r>
    </w:p>
    <w:p>
      <w:r>
        <w:t>Stimulus/response: An authorized user opens the module, enters or requests information, and RouteX checks permissions and validates data before saving or returning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233A52"/>
          </w:tcPr>
          <w:p>
            <w:r>
              <w:rPr>
                <w:b/>
                <w:color w:val="FFFFFF"/>
                <w:sz w:val="16"/>
              </w:rPr>
              <w:t>ID</w:t>
            </w:r>
          </w:p>
        </w:tc>
        <w:tc>
          <w:tcPr>
            <w:tcW w:type="dxa" w:w="2484"/>
            <w:shd w:fill="233A52"/>
          </w:tcPr>
          <w:p>
            <w:r>
              <w:rPr>
                <w:b/>
                <w:color w:val="FFFFFF"/>
                <w:sz w:val="16"/>
              </w:rPr>
              <w:t>Functional requirement</w:t>
            </w:r>
          </w:p>
        </w:tc>
        <w:tc>
          <w:tcPr>
            <w:tcW w:type="dxa" w:w="2484"/>
            <w:shd w:fill="233A52"/>
          </w:tcPr>
          <w:p>
            <w:r>
              <w:rPr>
                <w:b/>
                <w:color w:val="FFFFFF"/>
                <w:sz w:val="16"/>
              </w:rPr>
              <w:t>Priority</w:t>
            </w:r>
          </w:p>
        </w:tc>
        <w:tc>
          <w:tcPr>
            <w:tcW w:type="dxa" w:w="2484"/>
            <w:shd w:fill="233A52"/>
          </w:tcPr>
          <w:p>
            <w:r>
              <w:rPr>
                <w:b/>
                <w:color w:val="FFFFFF"/>
                <w:sz w:val="16"/>
              </w:rPr>
              <w:t>Acceptance / Validation</w:t>
            </w:r>
          </w:p>
        </w:tc>
      </w:tr>
      <w:tr>
        <w:tc>
          <w:tcPr>
            <w:tcW w:type="dxa" w:w="2484"/>
            <w:vAlign w:val="center"/>
            <w:shd w:fill="F2F5F8"/>
          </w:tcPr>
          <w:p>
            <w:pPr>
              <w:spacing w:after="20"/>
            </w:pPr>
            <w:r>
              <w:rPr>
                <w:sz w:val="16"/>
              </w:rPr>
              <w:t>REQ-AUTH-001</w:t>
            </w:r>
          </w:p>
        </w:tc>
        <w:tc>
          <w:tcPr>
            <w:tcW w:type="dxa" w:w="2484"/>
            <w:vAlign w:val="center"/>
            <w:shd w:fill="F2F5F8"/>
          </w:tcPr>
          <w:p>
            <w:pPr>
              <w:spacing w:after="20"/>
            </w:pPr>
            <w:r>
              <w:rPr>
                <w:sz w:val="16"/>
              </w:rPr>
              <w:t>Require authentication before displaying protected records.</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Unauthenticated access is denied or redirected.</w:t>
            </w:r>
          </w:p>
        </w:tc>
      </w:tr>
      <w:tr>
        <w:tc>
          <w:tcPr>
            <w:tcW w:type="dxa" w:w="2484"/>
            <w:vAlign w:val="center"/>
          </w:tcPr>
          <w:p>
            <w:pPr>
              <w:spacing w:after="20"/>
            </w:pPr>
            <w:r>
              <w:rPr>
                <w:sz w:val="16"/>
              </w:rPr>
              <w:t>REQ-AUTH-002</w:t>
            </w:r>
          </w:p>
        </w:tc>
        <w:tc>
          <w:tcPr>
            <w:tcW w:type="dxa" w:w="2484"/>
            <w:vAlign w:val="center"/>
          </w:tcPr>
          <w:p>
            <w:pPr>
              <w:spacing w:after="20"/>
            </w:pPr>
            <w:r>
              <w:rPr>
                <w:sz w:val="16"/>
              </w:rPr>
              <w:t>Enforce role-based permissions server-side for protected reads and writes.</w:t>
            </w:r>
          </w:p>
        </w:tc>
        <w:tc>
          <w:tcPr>
            <w:tcW w:type="dxa" w:w="2484"/>
            <w:vAlign w:val="center"/>
          </w:tcPr>
          <w:p>
            <w:pPr>
              <w:spacing w:after="20"/>
            </w:pPr>
            <w:r>
              <w:rPr>
                <w:sz w:val="16"/>
              </w:rPr>
              <w:t>High</w:t>
            </w:r>
          </w:p>
        </w:tc>
        <w:tc>
          <w:tcPr>
            <w:tcW w:type="dxa" w:w="2484"/>
            <w:vAlign w:val="center"/>
          </w:tcPr>
          <w:p>
            <w:pPr>
              <w:spacing w:after="20"/>
            </w:pPr>
            <w:r>
              <w:rPr>
                <w:sz w:val="16"/>
              </w:rPr>
              <w:t>Direct requests without permission are rejected.</w:t>
            </w:r>
          </w:p>
        </w:tc>
      </w:tr>
      <w:tr>
        <w:tc>
          <w:tcPr>
            <w:tcW w:type="dxa" w:w="2484"/>
            <w:vAlign w:val="center"/>
            <w:shd w:fill="F2F5F8"/>
          </w:tcPr>
          <w:p>
            <w:pPr>
              <w:spacing w:after="20"/>
            </w:pPr>
            <w:r>
              <w:rPr>
                <w:sz w:val="16"/>
              </w:rPr>
              <w:t>REQ-AUTH-003</w:t>
            </w:r>
          </w:p>
        </w:tc>
        <w:tc>
          <w:tcPr>
            <w:tcW w:type="dxa" w:w="2484"/>
            <w:vAlign w:val="center"/>
            <w:shd w:fill="F2F5F8"/>
          </w:tcPr>
          <w:p>
            <w:pPr>
              <w:spacing w:after="20"/>
            </w:pPr>
            <w:r>
              <w:rPr>
                <w:sz w:val="16"/>
              </w:rPr>
              <w:t>Allow authorized administrators to create, update, deactivate, and assign roles to accounts.</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Permission-checked account changes are logged.</w:t>
            </w:r>
          </w:p>
        </w:tc>
      </w:tr>
      <w:tr>
        <w:tc>
          <w:tcPr>
            <w:tcW w:type="dxa" w:w="2484"/>
            <w:vAlign w:val="center"/>
          </w:tcPr>
          <w:p>
            <w:pPr>
              <w:spacing w:after="20"/>
            </w:pPr>
            <w:r>
              <w:rPr>
                <w:sz w:val="16"/>
              </w:rPr>
              <w:t>REQ-AUTH-004</w:t>
            </w:r>
          </w:p>
        </w:tc>
        <w:tc>
          <w:tcPr>
            <w:tcW w:type="dxa" w:w="2484"/>
            <w:vAlign w:val="center"/>
          </w:tcPr>
          <w:p>
            <w:pPr>
              <w:spacing w:after="20"/>
            </w:pPr>
            <w:r>
              <w:rPr>
                <w:sz w:val="16"/>
              </w:rPr>
              <w:t>Record login and access-control-relevant events in an audit log.</w:t>
            </w:r>
          </w:p>
        </w:tc>
        <w:tc>
          <w:tcPr>
            <w:tcW w:type="dxa" w:w="2484"/>
            <w:vAlign w:val="center"/>
          </w:tcPr>
          <w:p>
            <w:pPr>
              <w:spacing w:after="20"/>
            </w:pPr>
            <w:r>
              <w:rPr>
                <w:sz w:val="16"/>
              </w:rPr>
              <w:t>High</w:t>
            </w:r>
          </w:p>
        </w:tc>
        <w:tc>
          <w:tcPr>
            <w:tcW w:type="dxa" w:w="2484"/>
            <w:vAlign w:val="center"/>
          </w:tcPr>
          <w:p>
            <w:pPr>
              <w:spacing w:after="20"/>
            </w:pPr>
            <w:r>
              <w:rPr>
                <w:sz w:val="16"/>
              </w:rPr>
              <w:t>Representative events create appropriate log entries.</w:t>
            </w:r>
          </w:p>
        </w:tc>
      </w:tr>
    </w:tbl>
    <w:p/>
    <w:p>
      <w:pPr>
        <w:pStyle w:val="Heading2"/>
      </w:pPr>
      <w:r>
        <w:t>4.2 Delivery Management</w:t>
      </w:r>
    </w:p>
    <w:p>
      <w:r>
        <w:t>Description: Delivery Management. Priority: High.</w:t>
      </w:r>
    </w:p>
    <w:p>
      <w:r>
        <w:t>Stimulus/response: An authorized user opens the module, enters or requests information, and RouteX checks permissions and validates data before saving or returning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233A52"/>
          </w:tcPr>
          <w:p>
            <w:r>
              <w:rPr>
                <w:b/>
                <w:color w:val="FFFFFF"/>
                <w:sz w:val="16"/>
              </w:rPr>
              <w:t>ID</w:t>
            </w:r>
          </w:p>
        </w:tc>
        <w:tc>
          <w:tcPr>
            <w:tcW w:type="dxa" w:w="2484"/>
            <w:shd w:fill="233A52"/>
          </w:tcPr>
          <w:p>
            <w:r>
              <w:rPr>
                <w:b/>
                <w:color w:val="FFFFFF"/>
                <w:sz w:val="16"/>
              </w:rPr>
              <w:t>Functional requirement</w:t>
            </w:r>
          </w:p>
        </w:tc>
        <w:tc>
          <w:tcPr>
            <w:tcW w:type="dxa" w:w="2484"/>
            <w:shd w:fill="233A52"/>
          </w:tcPr>
          <w:p>
            <w:r>
              <w:rPr>
                <w:b/>
                <w:color w:val="FFFFFF"/>
                <w:sz w:val="16"/>
              </w:rPr>
              <w:t>Priority</w:t>
            </w:r>
          </w:p>
        </w:tc>
        <w:tc>
          <w:tcPr>
            <w:tcW w:type="dxa" w:w="2484"/>
            <w:shd w:fill="233A52"/>
          </w:tcPr>
          <w:p>
            <w:r>
              <w:rPr>
                <w:b/>
                <w:color w:val="FFFFFF"/>
                <w:sz w:val="16"/>
              </w:rPr>
              <w:t>Acceptance / Validation</w:t>
            </w:r>
          </w:p>
        </w:tc>
      </w:tr>
      <w:tr>
        <w:tc>
          <w:tcPr>
            <w:tcW w:type="dxa" w:w="2484"/>
            <w:vAlign w:val="center"/>
            <w:shd w:fill="F2F5F8"/>
          </w:tcPr>
          <w:p>
            <w:pPr>
              <w:spacing w:after="20"/>
            </w:pPr>
            <w:r>
              <w:rPr>
                <w:sz w:val="16"/>
              </w:rPr>
              <w:t>REQ-DEL-001</w:t>
            </w:r>
          </w:p>
        </w:tc>
        <w:tc>
          <w:tcPr>
            <w:tcW w:type="dxa" w:w="2484"/>
            <w:vAlign w:val="center"/>
            <w:shd w:fill="F2F5F8"/>
          </w:tcPr>
          <w:p>
            <w:pPr>
              <w:spacing w:after="20"/>
            </w:pPr>
            <w:r>
              <w:rPr>
                <w:sz w:val="16"/>
              </w:rPr>
              <w:t>Allow Operations to create, view, and update delivery records according to permissions.</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Authorized user can save and retrieve a delivery.</w:t>
            </w:r>
          </w:p>
        </w:tc>
      </w:tr>
      <w:tr>
        <w:tc>
          <w:tcPr>
            <w:tcW w:type="dxa" w:w="2484"/>
            <w:vAlign w:val="center"/>
          </w:tcPr>
          <w:p>
            <w:pPr>
              <w:spacing w:after="20"/>
            </w:pPr>
            <w:r>
              <w:rPr>
                <w:sz w:val="16"/>
              </w:rPr>
              <w:t>REQ-DEL-002</w:t>
            </w:r>
          </w:p>
        </w:tc>
        <w:tc>
          <w:tcPr>
            <w:tcW w:type="dxa" w:w="2484"/>
            <w:vAlign w:val="center"/>
          </w:tcPr>
          <w:p>
            <w:pPr>
              <w:spacing w:after="20"/>
            </w:pPr>
            <w:r>
              <w:rPr>
                <w:sz w:val="16"/>
              </w:rPr>
              <w:t>Store unique delivery ID, date, client, truck, driver, and status.</w:t>
            </w:r>
          </w:p>
        </w:tc>
        <w:tc>
          <w:tcPr>
            <w:tcW w:type="dxa" w:w="2484"/>
            <w:vAlign w:val="center"/>
          </w:tcPr>
          <w:p>
            <w:pPr>
              <w:spacing w:after="20"/>
            </w:pPr>
            <w:r>
              <w:rPr>
                <w:sz w:val="16"/>
              </w:rPr>
              <w:t>High</w:t>
            </w:r>
          </w:p>
        </w:tc>
        <w:tc>
          <w:tcPr>
            <w:tcW w:type="dxa" w:w="2484"/>
            <w:vAlign w:val="center"/>
          </w:tcPr>
          <w:p>
            <w:pPr>
              <w:spacing w:after="20"/>
            </w:pPr>
            <w:r>
              <w:rPr>
                <w:sz w:val="16"/>
              </w:rPr>
              <w:t>Missing required fields or duplicate IDs are rejected.</w:t>
            </w:r>
          </w:p>
        </w:tc>
      </w:tr>
      <w:tr>
        <w:tc>
          <w:tcPr>
            <w:tcW w:type="dxa" w:w="2484"/>
            <w:vAlign w:val="center"/>
            <w:shd w:fill="F2F5F8"/>
          </w:tcPr>
          <w:p>
            <w:pPr>
              <w:spacing w:after="20"/>
            </w:pPr>
            <w:r>
              <w:rPr>
                <w:sz w:val="16"/>
              </w:rPr>
              <w:t>REQ-DEL-003</w:t>
            </w:r>
          </w:p>
        </w:tc>
        <w:tc>
          <w:tcPr>
            <w:tcW w:type="dxa" w:w="2484"/>
            <w:vAlign w:val="center"/>
            <w:shd w:fill="F2F5F8"/>
          </w:tcPr>
          <w:p>
            <w:pPr>
              <w:spacing w:after="20"/>
            </w:pPr>
            <w:r>
              <w:rPr>
                <w:sz w:val="16"/>
              </w:rPr>
              <w:t>Support Call Time, arrival/ETA at store, Start Loading, End Loading, and Departure timestamps.</w:t>
            </w:r>
          </w:p>
        </w:tc>
        <w:tc>
          <w:tcPr>
            <w:tcW w:type="dxa" w:w="2484"/>
            <w:vAlign w:val="center"/>
            <w:shd w:fill="F2F5F8"/>
          </w:tcPr>
          <w:p>
            <w:pPr>
              <w:spacing w:after="20"/>
            </w:pPr>
            <w:r>
              <w:rPr>
                <w:sz w:val="16"/>
              </w:rPr>
              <w:t>Medium/TBD</w:t>
            </w:r>
          </w:p>
        </w:tc>
        <w:tc>
          <w:tcPr>
            <w:tcW w:type="dxa" w:w="2484"/>
            <w:vAlign w:val="center"/>
            <w:shd w:fill="F2F5F8"/>
          </w:tcPr>
          <w:p>
            <w:pPr>
              <w:spacing w:after="20"/>
            </w:pPr>
            <w:r>
              <w:rPr>
                <w:sz w:val="16"/>
              </w:rPr>
              <w:t>Fields can be recorded; mandatory status and definitions require confirmation.</w:t>
            </w:r>
          </w:p>
        </w:tc>
      </w:tr>
      <w:tr>
        <w:tc>
          <w:tcPr>
            <w:tcW w:type="dxa" w:w="2484"/>
            <w:vAlign w:val="center"/>
          </w:tcPr>
          <w:p>
            <w:pPr>
              <w:spacing w:after="20"/>
            </w:pPr>
            <w:r>
              <w:rPr>
                <w:sz w:val="16"/>
              </w:rPr>
              <w:t>REQ-DEL-004</w:t>
            </w:r>
          </w:p>
        </w:tc>
        <w:tc>
          <w:tcPr>
            <w:tcW w:type="dxa" w:w="2484"/>
            <w:vAlign w:val="center"/>
          </w:tcPr>
          <w:p>
            <w:pPr>
              <w:spacing w:after="20"/>
            </w:pPr>
            <w:r>
              <w:rPr>
                <w:sz w:val="16"/>
              </w:rPr>
              <w:t>Record revenue and delivery-associated expenses using approved categories.</w:t>
            </w:r>
          </w:p>
        </w:tc>
        <w:tc>
          <w:tcPr>
            <w:tcW w:type="dxa" w:w="2484"/>
            <w:vAlign w:val="center"/>
          </w:tcPr>
          <w:p>
            <w:pPr>
              <w:spacing w:after="20"/>
            </w:pPr>
            <w:r>
              <w:rPr>
                <w:sz w:val="16"/>
              </w:rPr>
              <w:t>High</w:t>
            </w:r>
          </w:p>
        </w:tc>
        <w:tc>
          <w:tcPr>
            <w:tcW w:type="dxa" w:w="2484"/>
            <w:vAlign w:val="center"/>
          </w:tcPr>
          <w:p>
            <w:pPr>
              <w:spacing w:after="20"/>
            </w:pPr>
            <w:r>
              <w:rPr>
                <w:sz w:val="16"/>
              </w:rPr>
              <w:t>Amounts validate and categories follow approved configuration.</w:t>
            </w:r>
          </w:p>
        </w:tc>
      </w:tr>
      <w:tr>
        <w:tc>
          <w:tcPr>
            <w:tcW w:type="dxa" w:w="2484"/>
            <w:vAlign w:val="center"/>
            <w:shd w:fill="F2F5F8"/>
          </w:tcPr>
          <w:p>
            <w:pPr>
              <w:spacing w:after="20"/>
            </w:pPr>
            <w:r>
              <w:rPr>
                <w:sz w:val="16"/>
              </w:rPr>
              <w:t>REQ-DEL-005</w:t>
            </w:r>
          </w:p>
        </w:tc>
        <w:tc>
          <w:tcPr>
            <w:tcW w:type="dxa" w:w="2484"/>
            <w:vAlign w:val="center"/>
            <w:shd w:fill="F2F5F8"/>
          </w:tcPr>
          <w:p>
            <w:pPr>
              <w:spacing w:after="20"/>
            </w:pPr>
            <w:r>
              <w:rPr>
                <w:sz w:val="16"/>
              </w:rPr>
              <w:t>Use a predefined delivery-status list approved by the client.</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Only configured values can be saved.</w:t>
            </w:r>
          </w:p>
        </w:tc>
      </w:tr>
      <w:tr>
        <w:tc>
          <w:tcPr>
            <w:tcW w:type="dxa" w:w="2484"/>
            <w:vAlign w:val="center"/>
          </w:tcPr>
          <w:p>
            <w:pPr>
              <w:spacing w:after="20"/>
            </w:pPr>
            <w:r>
              <w:rPr>
                <w:sz w:val="16"/>
              </w:rPr>
              <w:t>REQ-DEL-006</w:t>
            </w:r>
          </w:p>
        </w:tc>
        <w:tc>
          <w:tcPr>
            <w:tcW w:type="dxa" w:w="2484"/>
            <w:vAlign w:val="center"/>
          </w:tcPr>
          <w:p>
            <w:pPr>
              <w:spacing w:after="20"/>
            </w:pPr>
            <w:r>
              <w:rPr>
                <w:sz w:val="16"/>
              </w:rPr>
              <w:t>Prevent unauthorized users from editing protected delivery financial fields.</w:t>
            </w:r>
          </w:p>
        </w:tc>
        <w:tc>
          <w:tcPr>
            <w:tcW w:type="dxa" w:w="2484"/>
            <w:vAlign w:val="center"/>
          </w:tcPr>
          <w:p>
            <w:pPr>
              <w:spacing w:after="20"/>
            </w:pPr>
            <w:r>
              <w:rPr>
                <w:sz w:val="16"/>
              </w:rPr>
              <w:t>High</w:t>
            </w:r>
          </w:p>
        </w:tc>
        <w:tc>
          <w:tcPr>
            <w:tcW w:type="dxa" w:w="2484"/>
            <w:vAlign w:val="center"/>
          </w:tcPr>
          <w:p>
            <w:pPr>
              <w:spacing w:after="20"/>
            </w:pPr>
            <w:r>
              <w:rPr>
                <w:sz w:val="16"/>
              </w:rPr>
              <w:t>Unauthorized financial edits are rejected.</w:t>
            </w:r>
          </w:p>
        </w:tc>
      </w:tr>
    </w:tbl>
    <w:p/>
    <w:p>
      <w:pPr>
        <w:pStyle w:val="Heading2"/>
      </w:pPr>
      <w:r>
        <w:t>4.3 Fleet and Crew Records</w:t>
      </w:r>
    </w:p>
    <w:p>
      <w:r>
        <w:t>Description: Fleet and Crew Records. Priority: High.</w:t>
      </w:r>
    </w:p>
    <w:p>
      <w:r>
        <w:t>Stimulus/response: An authorized user opens the module, enters or requests information, and RouteX checks permissions and validates data before saving or returning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233A52"/>
          </w:tcPr>
          <w:p>
            <w:r>
              <w:rPr>
                <w:b/>
                <w:color w:val="FFFFFF"/>
                <w:sz w:val="16"/>
              </w:rPr>
              <w:t>ID</w:t>
            </w:r>
          </w:p>
        </w:tc>
        <w:tc>
          <w:tcPr>
            <w:tcW w:type="dxa" w:w="2484"/>
            <w:shd w:fill="233A52"/>
          </w:tcPr>
          <w:p>
            <w:r>
              <w:rPr>
                <w:b/>
                <w:color w:val="FFFFFF"/>
                <w:sz w:val="16"/>
              </w:rPr>
              <w:t>Functional requirement</w:t>
            </w:r>
          </w:p>
        </w:tc>
        <w:tc>
          <w:tcPr>
            <w:tcW w:type="dxa" w:w="2484"/>
            <w:shd w:fill="233A52"/>
          </w:tcPr>
          <w:p>
            <w:r>
              <w:rPr>
                <w:b/>
                <w:color w:val="FFFFFF"/>
                <w:sz w:val="16"/>
              </w:rPr>
              <w:t>Priority</w:t>
            </w:r>
          </w:p>
        </w:tc>
        <w:tc>
          <w:tcPr>
            <w:tcW w:type="dxa" w:w="2484"/>
            <w:shd w:fill="233A52"/>
          </w:tcPr>
          <w:p>
            <w:r>
              <w:rPr>
                <w:b/>
                <w:color w:val="FFFFFF"/>
                <w:sz w:val="16"/>
              </w:rPr>
              <w:t>Acceptance / Validation</w:t>
            </w:r>
          </w:p>
        </w:tc>
      </w:tr>
      <w:tr>
        <w:tc>
          <w:tcPr>
            <w:tcW w:type="dxa" w:w="2484"/>
            <w:vAlign w:val="center"/>
            <w:shd w:fill="F2F5F8"/>
          </w:tcPr>
          <w:p>
            <w:pPr>
              <w:spacing w:after="20"/>
            </w:pPr>
            <w:r>
              <w:rPr>
                <w:sz w:val="16"/>
              </w:rPr>
              <w:t>REQ-FLEET-001</w:t>
            </w:r>
          </w:p>
        </w:tc>
        <w:tc>
          <w:tcPr>
            <w:tcW w:type="dxa" w:w="2484"/>
            <w:vAlign w:val="center"/>
            <w:shd w:fill="F2F5F8"/>
          </w:tcPr>
          <w:p>
            <w:pPr>
              <w:spacing w:after="20"/>
            </w:pPr>
            <w:r>
              <w:rPr>
                <w:sz w:val="16"/>
              </w:rPr>
              <w:t>Maintain truck records with unique identifier/plate and truck type.</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Duplicate identifiers are rejected or handled by approved rule.</w:t>
            </w:r>
          </w:p>
        </w:tc>
      </w:tr>
      <w:tr>
        <w:tc>
          <w:tcPr>
            <w:tcW w:type="dxa" w:w="2484"/>
            <w:vAlign w:val="center"/>
          </w:tcPr>
          <w:p>
            <w:pPr>
              <w:spacing w:after="20"/>
            </w:pPr>
            <w:r>
              <w:rPr>
                <w:sz w:val="16"/>
              </w:rPr>
              <w:t>REQ-FLEET-002</w:t>
            </w:r>
          </w:p>
        </w:tc>
        <w:tc>
          <w:tcPr>
            <w:tcW w:type="dxa" w:w="2484"/>
            <w:vAlign w:val="center"/>
          </w:tcPr>
          <w:p>
            <w:pPr>
              <w:spacing w:after="20"/>
            </w:pPr>
            <w:r>
              <w:rPr>
                <w:sz w:val="16"/>
              </w:rPr>
              <w:t>Represent owned and subcontracted truck records.</w:t>
            </w:r>
          </w:p>
        </w:tc>
        <w:tc>
          <w:tcPr>
            <w:tcW w:type="dxa" w:w="2484"/>
            <w:vAlign w:val="center"/>
          </w:tcPr>
          <w:p>
            <w:pPr>
              <w:spacing w:after="20"/>
            </w:pPr>
            <w:r>
              <w:rPr>
                <w:sz w:val="16"/>
              </w:rPr>
              <w:t>High</w:t>
            </w:r>
          </w:p>
        </w:tc>
        <w:tc>
          <w:tcPr>
            <w:tcW w:type="dxa" w:w="2484"/>
            <w:vAlign w:val="center"/>
          </w:tcPr>
          <w:p>
            <w:pPr>
              <w:spacing w:after="20"/>
            </w:pPr>
            <w:r>
              <w:rPr>
                <w:sz w:val="16"/>
              </w:rPr>
              <w:t>Ownership arrangement is stored distinctly.</w:t>
            </w:r>
          </w:p>
        </w:tc>
      </w:tr>
      <w:tr>
        <w:tc>
          <w:tcPr>
            <w:tcW w:type="dxa" w:w="2484"/>
            <w:vAlign w:val="center"/>
            <w:shd w:fill="F2F5F8"/>
          </w:tcPr>
          <w:p>
            <w:pPr>
              <w:spacing w:after="20"/>
            </w:pPr>
            <w:r>
              <w:rPr>
                <w:sz w:val="16"/>
              </w:rPr>
              <w:t>REQ-FLEET-003</w:t>
            </w:r>
          </w:p>
        </w:tc>
        <w:tc>
          <w:tcPr>
            <w:tcW w:type="dxa" w:w="2484"/>
            <w:vAlign w:val="center"/>
            <w:shd w:fill="F2F5F8"/>
          </w:tcPr>
          <w:p>
            <w:pPr>
              <w:spacing w:after="20"/>
            </w:pPr>
            <w:r>
              <w:rPr>
                <w:sz w:val="16"/>
              </w:rPr>
              <w:t>Link deliveries to assigned truck and driver, with support for one or two helpers when applicable.</w:t>
            </w:r>
          </w:p>
        </w:tc>
        <w:tc>
          <w:tcPr>
            <w:tcW w:type="dxa" w:w="2484"/>
            <w:vAlign w:val="center"/>
            <w:shd w:fill="F2F5F8"/>
          </w:tcPr>
          <w:p>
            <w:pPr>
              <w:spacing w:after="20"/>
            </w:pPr>
            <w:r>
              <w:rPr>
                <w:sz w:val="16"/>
              </w:rPr>
              <w:t>High/TBD</w:t>
            </w:r>
          </w:p>
        </w:tc>
        <w:tc>
          <w:tcPr>
            <w:tcW w:type="dxa" w:w="2484"/>
            <w:vAlign w:val="center"/>
            <w:shd w:fill="F2F5F8"/>
          </w:tcPr>
          <w:p>
            <w:pPr>
              <w:spacing w:after="20"/>
            </w:pPr>
            <w:r>
              <w:rPr>
                <w:sz w:val="16"/>
              </w:rPr>
              <w:t>Assignment saves; exact validation is confirmed.</w:t>
            </w:r>
          </w:p>
        </w:tc>
      </w:tr>
      <w:tr>
        <w:tc>
          <w:tcPr>
            <w:tcW w:type="dxa" w:w="2484"/>
            <w:vAlign w:val="center"/>
          </w:tcPr>
          <w:p>
            <w:pPr>
              <w:spacing w:after="20"/>
            </w:pPr>
            <w:r>
              <w:rPr>
                <w:sz w:val="16"/>
              </w:rPr>
              <w:t>REQ-FLEET-004</w:t>
            </w:r>
          </w:p>
        </w:tc>
        <w:tc>
          <w:tcPr>
            <w:tcW w:type="dxa" w:w="2484"/>
            <w:vAlign w:val="center"/>
          </w:tcPr>
          <w:p>
            <w:pPr>
              <w:spacing w:after="20"/>
            </w:pPr>
            <w:r>
              <w:rPr>
                <w:sz w:val="16"/>
              </w:rPr>
              <w:t>Retrieve delivery history for a selected truck and period.</w:t>
            </w:r>
          </w:p>
        </w:tc>
        <w:tc>
          <w:tcPr>
            <w:tcW w:type="dxa" w:w="2484"/>
            <w:vAlign w:val="center"/>
          </w:tcPr>
          <w:p>
            <w:pPr>
              <w:spacing w:after="20"/>
            </w:pPr>
            <w:r>
              <w:rPr>
                <w:sz w:val="16"/>
              </w:rPr>
              <w:t>High</w:t>
            </w:r>
          </w:p>
        </w:tc>
        <w:tc>
          <w:tcPr>
            <w:tcW w:type="dxa" w:w="2484"/>
            <w:vAlign w:val="center"/>
          </w:tcPr>
          <w:p>
            <w:pPr>
              <w:spacing w:after="20"/>
            </w:pPr>
            <w:r>
              <w:rPr>
                <w:sz w:val="16"/>
              </w:rPr>
              <w:t>History matches truck and date filters.</w:t>
            </w:r>
          </w:p>
        </w:tc>
      </w:tr>
    </w:tbl>
    <w:p/>
    <w:p>
      <w:pPr>
        <w:pStyle w:val="Heading2"/>
      </w:pPr>
      <w:r>
        <w:t>4.4 POD Management</w:t>
      </w:r>
    </w:p>
    <w:p>
      <w:r>
        <w:t>Description: POD Management. Priority: High.</w:t>
      </w:r>
    </w:p>
    <w:p>
      <w:r>
        <w:t>Stimulus/response: An authorized user opens the module, enters or requests information, and RouteX checks permissions and validates data before saving or returning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233A52"/>
          </w:tcPr>
          <w:p>
            <w:r>
              <w:rPr>
                <w:b/>
                <w:color w:val="FFFFFF"/>
                <w:sz w:val="16"/>
              </w:rPr>
              <w:t>ID</w:t>
            </w:r>
          </w:p>
        </w:tc>
        <w:tc>
          <w:tcPr>
            <w:tcW w:type="dxa" w:w="2484"/>
            <w:shd w:fill="233A52"/>
          </w:tcPr>
          <w:p>
            <w:r>
              <w:rPr>
                <w:b/>
                <w:color w:val="FFFFFF"/>
                <w:sz w:val="16"/>
              </w:rPr>
              <w:t>Functional requirement</w:t>
            </w:r>
          </w:p>
        </w:tc>
        <w:tc>
          <w:tcPr>
            <w:tcW w:type="dxa" w:w="2484"/>
            <w:shd w:fill="233A52"/>
          </w:tcPr>
          <w:p>
            <w:r>
              <w:rPr>
                <w:b/>
                <w:color w:val="FFFFFF"/>
                <w:sz w:val="16"/>
              </w:rPr>
              <w:t>Priority</w:t>
            </w:r>
          </w:p>
        </w:tc>
        <w:tc>
          <w:tcPr>
            <w:tcW w:type="dxa" w:w="2484"/>
            <w:shd w:fill="233A52"/>
          </w:tcPr>
          <w:p>
            <w:r>
              <w:rPr>
                <w:b/>
                <w:color w:val="FFFFFF"/>
                <w:sz w:val="16"/>
              </w:rPr>
              <w:t>Acceptance / Validation</w:t>
            </w:r>
          </w:p>
        </w:tc>
      </w:tr>
      <w:tr>
        <w:tc>
          <w:tcPr>
            <w:tcW w:type="dxa" w:w="2484"/>
            <w:vAlign w:val="center"/>
            <w:shd w:fill="F2F5F8"/>
          </w:tcPr>
          <w:p>
            <w:pPr>
              <w:spacing w:after="20"/>
            </w:pPr>
            <w:r>
              <w:rPr>
                <w:sz w:val="16"/>
              </w:rPr>
              <w:t>REQ-POD-001</w:t>
            </w:r>
          </w:p>
        </w:tc>
        <w:tc>
          <w:tcPr>
            <w:tcW w:type="dxa" w:w="2484"/>
            <w:vAlign w:val="center"/>
            <w:shd w:fill="F2F5F8"/>
          </w:tcPr>
          <w:p>
            <w:pPr>
              <w:spacing w:after="20"/>
            </w:pPr>
            <w:r>
              <w:rPr>
                <w:sz w:val="16"/>
              </w:rPr>
              <w:t>Allow authorized users to upload a POD file linked to an existing delivery.</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File is linked to the correct delivery.</w:t>
            </w:r>
          </w:p>
        </w:tc>
      </w:tr>
      <w:tr>
        <w:tc>
          <w:tcPr>
            <w:tcW w:type="dxa" w:w="2484"/>
            <w:vAlign w:val="center"/>
          </w:tcPr>
          <w:p>
            <w:pPr>
              <w:spacing w:after="20"/>
            </w:pPr>
            <w:r>
              <w:rPr>
                <w:sz w:val="16"/>
              </w:rPr>
              <w:t>REQ-POD-002</w:t>
            </w:r>
          </w:p>
        </w:tc>
        <w:tc>
          <w:tcPr>
            <w:tcW w:type="dxa" w:w="2484"/>
            <w:vAlign w:val="center"/>
          </w:tcPr>
          <w:p>
            <w:pPr>
              <w:spacing w:after="20"/>
            </w:pPr>
            <w:r>
              <w:rPr>
                <w:sz w:val="16"/>
              </w:rPr>
              <w:t>Validate POD type and size against configured limits.</w:t>
            </w:r>
          </w:p>
        </w:tc>
        <w:tc>
          <w:tcPr>
            <w:tcW w:type="dxa" w:w="2484"/>
            <w:vAlign w:val="center"/>
          </w:tcPr>
          <w:p>
            <w:pPr>
              <w:spacing w:after="20"/>
            </w:pPr>
            <w:r>
              <w:rPr>
                <w:sz w:val="16"/>
              </w:rPr>
              <w:t>High</w:t>
            </w:r>
          </w:p>
        </w:tc>
        <w:tc>
          <w:tcPr>
            <w:tcW w:type="dxa" w:w="2484"/>
            <w:vAlign w:val="center"/>
          </w:tcPr>
          <w:p>
            <w:pPr>
              <w:spacing w:after="20"/>
            </w:pPr>
            <w:r>
              <w:rPr>
                <w:sz w:val="16"/>
              </w:rPr>
              <w:t>Unsupported/oversized files are rejected.</w:t>
            </w:r>
          </w:p>
        </w:tc>
      </w:tr>
      <w:tr>
        <w:tc>
          <w:tcPr>
            <w:tcW w:type="dxa" w:w="2484"/>
            <w:vAlign w:val="center"/>
            <w:shd w:fill="F2F5F8"/>
          </w:tcPr>
          <w:p>
            <w:pPr>
              <w:spacing w:after="20"/>
            </w:pPr>
            <w:r>
              <w:rPr>
                <w:sz w:val="16"/>
              </w:rPr>
              <w:t>REQ-POD-003</w:t>
            </w:r>
          </w:p>
        </w:tc>
        <w:tc>
          <w:tcPr>
            <w:tcW w:type="dxa" w:w="2484"/>
            <w:vAlign w:val="center"/>
            <w:shd w:fill="F2F5F8"/>
          </w:tcPr>
          <w:p>
            <w:pPr>
              <w:spacing w:after="20"/>
            </w:pPr>
            <w:r>
              <w:rPr>
                <w:sz w:val="16"/>
              </w:rPr>
              <w:t>Restrict POD access to authorized users.</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Unauthorized file access is denied.</w:t>
            </w:r>
          </w:p>
        </w:tc>
      </w:tr>
      <w:tr>
        <w:tc>
          <w:tcPr>
            <w:tcW w:type="dxa" w:w="2484"/>
            <w:vAlign w:val="center"/>
          </w:tcPr>
          <w:p>
            <w:pPr>
              <w:spacing w:after="20"/>
            </w:pPr>
            <w:r>
              <w:rPr>
                <w:sz w:val="16"/>
              </w:rPr>
              <w:t>REQ-POD-004</w:t>
            </w:r>
          </w:p>
        </w:tc>
        <w:tc>
          <w:tcPr>
            <w:tcW w:type="dxa" w:w="2484"/>
            <w:vAlign w:val="center"/>
          </w:tcPr>
          <w:p>
            <w:pPr>
              <w:spacing w:after="20"/>
            </w:pPr>
            <w:r>
              <w:rPr>
                <w:sz w:val="16"/>
              </w:rPr>
              <w:t>Indicate when a delivery has no POD attached.</w:t>
            </w:r>
          </w:p>
        </w:tc>
        <w:tc>
          <w:tcPr>
            <w:tcW w:type="dxa" w:w="2484"/>
            <w:vAlign w:val="center"/>
          </w:tcPr>
          <w:p>
            <w:pPr>
              <w:spacing w:after="20"/>
            </w:pPr>
            <w:r>
              <w:rPr>
                <w:sz w:val="16"/>
              </w:rPr>
              <w:t>Medium/Proposed</w:t>
            </w:r>
          </w:p>
        </w:tc>
        <w:tc>
          <w:tcPr>
            <w:tcW w:type="dxa" w:w="2484"/>
            <w:vAlign w:val="center"/>
          </w:tcPr>
          <w:p>
            <w:pPr>
              <w:spacing w:after="20"/>
            </w:pPr>
            <w:r>
              <w:rPr>
                <w:sz w:val="16"/>
              </w:rPr>
              <w:t>Indicator matches attachment state; confirm with client.</w:t>
            </w:r>
          </w:p>
        </w:tc>
      </w:tr>
    </w:tbl>
    <w:p/>
    <w:p>
      <w:pPr>
        <w:pStyle w:val="Heading2"/>
      </w:pPr>
      <w:r>
        <w:t>4.5 Financial Transactions and Expense Categories</w:t>
      </w:r>
    </w:p>
    <w:p>
      <w:r>
        <w:t>Description: Financial Transactions and Expense Categories. Priority: High.</w:t>
      </w:r>
    </w:p>
    <w:p>
      <w:r>
        <w:t>Stimulus/response: An authorized user opens the module, enters or requests information, and RouteX checks permissions and validates data before saving or returning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233A52"/>
          </w:tcPr>
          <w:p>
            <w:r>
              <w:rPr>
                <w:b/>
                <w:color w:val="FFFFFF"/>
                <w:sz w:val="16"/>
              </w:rPr>
              <w:t>ID</w:t>
            </w:r>
          </w:p>
        </w:tc>
        <w:tc>
          <w:tcPr>
            <w:tcW w:type="dxa" w:w="2484"/>
            <w:shd w:fill="233A52"/>
          </w:tcPr>
          <w:p>
            <w:r>
              <w:rPr>
                <w:b/>
                <w:color w:val="FFFFFF"/>
                <w:sz w:val="16"/>
              </w:rPr>
              <w:t>Functional requirement</w:t>
            </w:r>
          </w:p>
        </w:tc>
        <w:tc>
          <w:tcPr>
            <w:tcW w:type="dxa" w:w="2484"/>
            <w:shd w:fill="233A52"/>
          </w:tcPr>
          <w:p>
            <w:r>
              <w:rPr>
                <w:b/>
                <w:color w:val="FFFFFF"/>
                <w:sz w:val="16"/>
              </w:rPr>
              <w:t>Priority</w:t>
            </w:r>
          </w:p>
        </w:tc>
        <w:tc>
          <w:tcPr>
            <w:tcW w:type="dxa" w:w="2484"/>
            <w:shd w:fill="233A52"/>
          </w:tcPr>
          <w:p>
            <w:r>
              <w:rPr>
                <w:b/>
                <w:color w:val="FFFFFF"/>
                <w:sz w:val="16"/>
              </w:rPr>
              <w:t>Acceptance / Validation</w:t>
            </w:r>
          </w:p>
        </w:tc>
      </w:tr>
      <w:tr>
        <w:tc>
          <w:tcPr>
            <w:tcW w:type="dxa" w:w="2484"/>
            <w:vAlign w:val="center"/>
            <w:shd w:fill="F2F5F8"/>
          </w:tcPr>
          <w:p>
            <w:pPr>
              <w:spacing w:after="20"/>
            </w:pPr>
            <w:r>
              <w:rPr>
                <w:sz w:val="16"/>
              </w:rPr>
              <w:t>REQ-FIN-001</w:t>
            </w:r>
          </w:p>
        </w:tc>
        <w:tc>
          <w:tcPr>
            <w:tcW w:type="dxa" w:w="2484"/>
            <w:vAlign w:val="center"/>
            <w:shd w:fill="F2F5F8"/>
          </w:tcPr>
          <w:p>
            <w:pPr>
              <w:spacing w:after="20"/>
            </w:pPr>
            <w:r>
              <w:rPr>
                <w:sz w:val="16"/>
              </w:rPr>
              <w:t>Allow Finance to create, view, and update company expenses not assigned to a specific delivery.</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Expense can be saved with approved required fields.</w:t>
            </w:r>
          </w:p>
        </w:tc>
      </w:tr>
      <w:tr>
        <w:tc>
          <w:tcPr>
            <w:tcW w:type="dxa" w:w="2484"/>
            <w:vAlign w:val="center"/>
          </w:tcPr>
          <w:p>
            <w:pPr>
              <w:spacing w:after="20"/>
            </w:pPr>
            <w:r>
              <w:rPr>
                <w:sz w:val="16"/>
              </w:rPr>
              <w:t>REQ-FIN-002</w:t>
            </w:r>
          </w:p>
        </w:tc>
        <w:tc>
          <w:tcPr>
            <w:tcW w:type="dxa" w:w="2484"/>
            <w:vAlign w:val="center"/>
          </w:tcPr>
          <w:p>
            <w:pPr>
              <w:spacing w:after="20"/>
            </w:pPr>
            <w:r>
              <w:rPr>
                <w:sz w:val="16"/>
              </w:rPr>
              <w:t>Support client-approved expense categories and category-management permissions.</w:t>
            </w:r>
          </w:p>
        </w:tc>
        <w:tc>
          <w:tcPr>
            <w:tcW w:type="dxa" w:w="2484"/>
            <w:vAlign w:val="center"/>
          </w:tcPr>
          <w:p>
            <w:pPr>
              <w:spacing w:after="20"/>
            </w:pPr>
            <w:r>
              <w:rPr>
                <w:sz w:val="16"/>
              </w:rPr>
              <w:t>High</w:t>
            </w:r>
          </w:p>
        </w:tc>
        <w:tc>
          <w:tcPr>
            <w:tcW w:type="dxa" w:w="2484"/>
            <w:vAlign w:val="center"/>
          </w:tcPr>
          <w:p>
            <w:pPr>
              <w:spacing w:after="20"/>
            </w:pPr>
            <w:r>
              <w:rPr>
                <w:sz w:val="16"/>
              </w:rPr>
              <w:t>Only configured categories are selectable.</w:t>
            </w:r>
          </w:p>
        </w:tc>
      </w:tr>
      <w:tr>
        <w:tc>
          <w:tcPr>
            <w:tcW w:type="dxa" w:w="2484"/>
            <w:vAlign w:val="center"/>
            <w:shd w:fill="F2F5F8"/>
          </w:tcPr>
          <w:p>
            <w:pPr>
              <w:spacing w:after="20"/>
            </w:pPr>
            <w:r>
              <w:rPr>
                <w:sz w:val="16"/>
              </w:rPr>
              <w:t>REQ-FIN-003</w:t>
            </w:r>
          </w:p>
        </w:tc>
        <w:tc>
          <w:tcPr>
            <w:tcW w:type="dxa" w:w="2484"/>
            <w:vAlign w:val="center"/>
            <w:shd w:fill="F2F5F8"/>
          </w:tcPr>
          <w:p>
            <w:pPr>
              <w:spacing w:after="20"/>
            </w:pPr>
            <w:r>
              <w:rPr>
                <w:sz w:val="16"/>
              </w:rPr>
              <w:t>Distinguish delivery-associated costs from company-level expenses.</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Classification is visible and used in calculations.</w:t>
            </w:r>
          </w:p>
        </w:tc>
      </w:tr>
      <w:tr>
        <w:tc>
          <w:tcPr>
            <w:tcW w:type="dxa" w:w="2484"/>
            <w:vAlign w:val="center"/>
          </w:tcPr>
          <w:p>
            <w:pPr>
              <w:spacing w:after="20"/>
            </w:pPr>
            <w:r>
              <w:rPr>
                <w:sz w:val="16"/>
              </w:rPr>
              <w:t>REQ-FIN-004</w:t>
            </w:r>
          </w:p>
        </w:tc>
        <w:tc>
          <w:tcPr>
            <w:tcW w:type="dxa" w:w="2484"/>
            <w:vAlign w:val="center"/>
          </w:tcPr>
          <w:p>
            <w:pPr>
              <w:spacing w:after="20"/>
            </w:pPr>
            <w:r>
              <w:rPr>
                <w:sz w:val="16"/>
              </w:rPr>
              <w:t>Retain audit history for edits to financial records.</w:t>
            </w:r>
          </w:p>
        </w:tc>
        <w:tc>
          <w:tcPr>
            <w:tcW w:type="dxa" w:w="2484"/>
            <w:vAlign w:val="center"/>
          </w:tcPr>
          <w:p>
            <w:pPr>
              <w:spacing w:after="20"/>
            </w:pPr>
            <w:r>
              <w:rPr>
                <w:sz w:val="16"/>
              </w:rPr>
              <w:t>High</w:t>
            </w:r>
          </w:p>
        </w:tc>
        <w:tc>
          <w:tcPr>
            <w:tcW w:type="dxa" w:w="2484"/>
            <w:vAlign w:val="center"/>
          </w:tcPr>
          <w:p>
            <w:pPr>
              <w:spacing w:after="20"/>
            </w:pPr>
            <w:r>
              <w:rPr>
                <w:sz w:val="16"/>
              </w:rPr>
              <w:t>Changes identify actor and time.</w:t>
            </w:r>
          </w:p>
        </w:tc>
      </w:tr>
    </w:tbl>
    <w:p/>
    <w:p>
      <w:pPr>
        <w:pStyle w:val="Heading2"/>
      </w:pPr>
      <w:r>
        <w:t>4.6 HR and Compensation Summaries</w:t>
      </w:r>
    </w:p>
    <w:p>
      <w:r>
        <w:t>Description: HR and Compensation Summaries. Priority: Medium/TBD.</w:t>
      </w:r>
    </w:p>
    <w:p>
      <w:r>
        <w:t>Stimulus/response: An authorized user opens the module, enters or requests information, and RouteX checks permissions and validates data before saving or returning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233A52"/>
          </w:tcPr>
          <w:p>
            <w:r>
              <w:rPr>
                <w:b/>
                <w:color w:val="FFFFFF"/>
                <w:sz w:val="16"/>
              </w:rPr>
              <w:t>ID</w:t>
            </w:r>
          </w:p>
        </w:tc>
        <w:tc>
          <w:tcPr>
            <w:tcW w:type="dxa" w:w="2484"/>
            <w:shd w:fill="233A52"/>
          </w:tcPr>
          <w:p>
            <w:r>
              <w:rPr>
                <w:b/>
                <w:color w:val="FFFFFF"/>
                <w:sz w:val="16"/>
              </w:rPr>
              <w:t>Functional requirement</w:t>
            </w:r>
          </w:p>
        </w:tc>
        <w:tc>
          <w:tcPr>
            <w:tcW w:type="dxa" w:w="2484"/>
            <w:shd w:fill="233A52"/>
          </w:tcPr>
          <w:p>
            <w:r>
              <w:rPr>
                <w:b/>
                <w:color w:val="FFFFFF"/>
                <w:sz w:val="16"/>
              </w:rPr>
              <w:t>Priority</w:t>
            </w:r>
          </w:p>
        </w:tc>
        <w:tc>
          <w:tcPr>
            <w:tcW w:type="dxa" w:w="2484"/>
            <w:shd w:fill="233A52"/>
          </w:tcPr>
          <w:p>
            <w:r>
              <w:rPr>
                <w:b/>
                <w:color w:val="FFFFFF"/>
                <w:sz w:val="16"/>
              </w:rPr>
              <w:t>Acceptance / Validation</w:t>
            </w:r>
          </w:p>
        </w:tc>
      </w:tr>
      <w:tr>
        <w:tc>
          <w:tcPr>
            <w:tcW w:type="dxa" w:w="2484"/>
            <w:vAlign w:val="center"/>
            <w:shd w:fill="F2F5F8"/>
          </w:tcPr>
          <w:p>
            <w:pPr>
              <w:spacing w:after="20"/>
            </w:pPr>
            <w:r>
              <w:rPr>
                <w:sz w:val="16"/>
              </w:rPr>
              <w:t>REQ-HR-001</w:t>
            </w:r>
          </w:p>
        </w:tc>
        <w:tc>
          <w:tcPr>
            <w:tcW w:type="dxa" w:w="2484"/>
            <w:vAlign w:val="center"/>
            <w:shd w:fill="F2F5F8"/>
          </w:tcPr>
          <w:p>
            <w:pPr>
              <w:spacing w:after="20"/>
            </w:pPr>
            <w:r>
              <w:rPr>
                <w:sz w:val="16"/>
              </w:rPr>
              <w:t>Allow HR to maintain employee records needed for approved compensation summaries.</w:t>
            </w:r>
          </w:p>
        </w:tc>
        <w:tc>
          <w:tcPr>
            <w:tcW w:type="dxa" w:w="2484"/>
            <w:vAlign w:val="center"/>
            <w:shd w:fill="F2F5F8"/>
          </w:tcPr>
          <w:p>
            <w:pPr>
              <w:spacing w:after="20"/>
            </w:pPr>
            <w:r>
              <w:rPr>
                <w:sz w:val="16"/>
              </w:rPr>
              <w:t>Medium/TBD</w:t>
            </w:r>
          </w:p>
        </w:tc>
        <w:tc>
          <w:tcPr>
            <w:tcW w:type="dxa" w:w="2484"/>
            <w:vAlign w:val="center"/>
            <w:shd w:fill="F2F5F8"/>
          </w:tcPr>
          <w:p>
            <w:pPr>
              <w:spacing w:after="20"/>
            </w:pPr>
            <w:r>
              <w:rPr>
                <w:sz w:val="16"/>
              </w:rPr>
              <w:t>Authorized HR user can create and retrieve required details.</w:t>
            </w:r>
          </w:p>
        </w:tc>
      </w:tr>
      <w:tr>
        <w:tc>
          <w:tcPr>
            <w:tcW w:type="dxa" w:w="2484"/>
            <w:vAlign w:val="center"/>
          </w:tcPr>
          <w:p>
            <w:pPr>
              <w:spacing w:after="20"/>
            </w:pPr>
            <w:r>
              <w:rPr>
                <w:sz w:val="16"/>
              </w:rPr>
              <w:t>REQ-HR-002</w:t>
            </w:r>
          </w:p>
        </w:tc>
        <w:tc>
          <w:tcPr>
            <w:tcW w:type="dxa" w:w="2484"/>
            <w:vAlign w:val="center"/>
          </w:tcPr>
          <w:p>
            <w:pPr>
              <w:spacing w:after="20"/>
            </w:pPr>
            <w:r>
              <w:rPr>
                <w:sz w:val="16"/>
              </w:rPr>
              <w:t>Record compensation/payable summaries only using client-approved rules.</w:t>
            </w:r>
          </w:p>
        </w:tc>
        <w:tc>
          <w:tcPr>
            <w:tcW w:type="dxa" w:w="2484"/>
            <w:vAlign w:val="center"/>
          </w:tcPr>
          <w:p>
            <w:pPr>
              <w:spacing w:after="20"/>
            </w:pPr>
            <w:r>
              <w:rPr>
                <w:sz w:val="16"/>
              </w:rPr>
              <w:t>TBD</w:t>
            </w:r>
          </w:p>
        </w:tc>
        <w:tc>
          <w:tcPr>
            <w:tcW w:type="dxa" w:w="2484"/>
            <w:vAlign w:val="center"/>
          </w:tcPr>
          <w:p>
            <w:pPr>
              <w:spacing w:after="20"/>
            </w:pPr>
            <w:r>
              <w:rPr>
                <w:sz w:val="16"/>
              </w:rPr>
              <w:t>Calculations remain disabled/unfinalized until rules are approved.</w:t>
            </w:r>
          </w:p>
        </w:tc>
      </w:tr>
      <w:tr>
        <w:tc>
          <w:tcPr>
            <w:tcW w:type="dxa" w:w="2484"/>
            <w:vAlign w:val="center"/>
            <w:shd w:fill="F2F5F8"/>
          </w:tcPr>
          <w:p>
            <w:pPr>
              <w:spacing w:after="20"/>
            </w:pPr>
            <w:r>
              <w:rPr>
                <w:sz w:val="16"/>
              </w:rPr>
              <w:t>REQ-HR-003</w:t>
            </w:r>
          </w:p>
        </w:tc>
        <w:tc>
          <w:tcPr>
            <w:tcW w:type="dxa" w:w="2484"/>
            <w:vAlign w:val="center"/>
            <w:shd w:fill="F2F5F8"/>
          </w:tcPr>
          <w:p>
            <w:pPr>
              <w:spacing w:after="20"/>
            </w:pPr>
            <w:r>
              <w:rPr>
                <w:sz w:val="16"/>
              </w:rPr>
              <w:t>Do not count compensation twice in company profitability when already represented as a delivery expense.</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Test confirms one economic expense is counted once.</w:t>
            </w:r>
          </w:p>
        </w:tc>
      </w:tr>
    </w:tbl>
    <w:p/>
    <w:p>
      <w:pPr>
        <w:pStyle w:val="Heading2"/>
      </w:pPr>
      <w:r>
        <w:t>4.7 Search and Record Retrieval</w:t>
      </w:r>
    </w:p>
    <w:p>
      <w:r>
        <w:t>Description: Search and Record Retrieval. Priority: High.</w:t>
      </w:r>
    </w:p>
    <w:p>
      <w:r>
        <w:t>Stimulus/response: An authorized user opens the module, enters or requests information, and RouteX checks permissions and validates data before saving or returning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233A52"/>
          </w:tcPr>
          <w:p>
            <w:r>
              <w:rPr>
                <w:b/>
                <w:color w:val="FFFFFF"/>
                <w:sz w:val="16"/>
              </w:rPr>
              <w:t>ID</w:t>
            </w:r>
          </w:p>
        </w:tc>
        <w:tc>
          <w:tcPr>
            <w:tcW w:type="dxa" w:w="2484"/>
            <w:shd w:fill="233A52"/>
          </w:tcPr>
          <w:p>
            <w:r>
              <w:rPr>
                <w:b/>
                <w:color w:val="FFFFFF"/>
                <w:sz w:val="16"/>
              </w:rPr>
              <w:t>Functional requirement</w:t>
            </w:r>
          </w:p>
        </w:tc>
        <w:tc>
          <w:tcPr>
            <w:tcW w:type="dxa" w:w="2484"/>
            <w:shd w:fill="233A52"/>
          </w:tcPr>
          <w:p>
            <w:r>
              <w:rPr>
                <w:b/>
                <w:color w:val="FFFFFF"/>
                <w:sz w:val="16"/>
              </w:rPr>
              <w:t>Priority</w:t>
            </w:r>
          </w:p>
        </w:tc>
        <w:tc>
          <w:tcPr>
            <w:tcW w:type="dxa" w:w="2484"/>
            <w:shd w:fill="233A52"/>
          </w:tcPr>
          <w:p>
            <w:r>
              <w:rPr>
                <w:b/>
                <w:color w:val="FFFFFF"/>
                <w:sz w:val="16"/>
              </w:rPr>
              <w:t>Acceptance / Validation</w:t>
            </w:r>
          </w:p>
        </w:tc>
      </w:tr>
      <w:tr>
        <w:tc>
          <w:tcPr>
            <w:tcW w:type="dxa" w:w="2484"/>
            <w:vAlign w:val="center"/>
            <w:shd w:fill="F2F5F8"/>
          </w:tcPr>
          <w:p>
            <w:pPr>
              <w:spacing w:after="20"/>
            </w:pPr>
            <w:r>
              <w:rPr>
                <w:sz w:val="16"/>
              </w:rPr>
              <w:t>REQ-SRCH-001</w:t>
            </w:r>
          </w:p>
        </w:tc>
        <w:tc>
          <w:tcPr>
            <w:tcW w:type="dxa" w:w="2484"/>
            <w:vAlign w:val="center"/>
            <w:shd w:fill="F2F5F8"/>
          </w:tcPr>
          <w:p>
            <w:pPr>
              <w:spacing w:after="20"/>
            </w:pPr>
            <w:r>
              <w:rPr>
                <w:sz w:val="16"/>
              </w:rPr>
              <w:t>Search deliveries by delivery ID, truck plate, driver, client, and date.</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Each supported search returns matching records.</w:t>
            </w:r>
          </w:p>
        </w:tc>
      </w:tr>
      <w:tr>
        <w:tc>
          <w:tcPr>
            <w:tcW w:type="dxa" w:w="2484"/>
            <w:vAlign w:val="center"/>
          </w:tcPr>
          <w:p>
            <w:pPr>
              <w:spacing w:after="20"/>
            </w:pPr>
            <w:r>
              <w:rPr>
                <w:sz w:val="16"/>
              </w:rPr>
              <w:t>REQ-SRCH-002</w:t>
            </w:r>
          </w:p>
        </w:tc>
        <w:tc>
          <w:tcPr>
            <w:tcW w:type="dxa" w:w="2484"/>
            <w:vAlign w:val="center"/>
          </w:tcPr>
          <w:p>
            <w:pPr>
              <w:spacing w:after="20"/>
            </w:pPr>
            <w:r>
              <w:rPr>
                <w:sz w:val="16"/>
              </w:rPr>
              <w:t>Filter by date range and relevant status/category fields.</w:t>
            </w:r>
          </w:p>
        </w:tc>
        <w:tc>
          <w:tcPr>
            <w:tcW w:type="dxa" w:w="2484"/>
            <w:vAlign w:val="center"/>
          </w:tcPr>
          <w:p>
            <w:pPr>
              <w:spacing w:after="20"/>
            </w:pPr>
            <w:r>
              <w:rPr>
                <w:sz w:val="16"/>
              </w:rPr>
              <w:t>High</w:t>
            </w:r>
          </w:p>
        </w:tc>
        <w:tc>
          <w:tcPr>
            <w:tcW w:type="dxa" w:w="2484"/>
            <w:vAlign w:val="center"/>
          </w:tcPr>
          <w:p>
            <w:pPr>
              <w:spacing w:after="20"/>
            </w:pPr>
            <w:r>
              <w:rPr>
                <w:sz w:val="16"/>
              </w:rPr>
              <w:t>Results reflect selected filters.</w:t>
            </w:r>
          </w:p>
        </w:tc>
      </w:tr>
      <w:tr>
        <w:tc>
          <w:tcPr>
            <w:tcW w:type="dxa" w:w="2484"/>
            <w:vAlign w:val="center"/>
            <w:shd w:fill="F2F5F8"/>
          </w:tcPr>
          <w:p>
            <w:pPr>
              <w:spacing w:after="20"/>
            </w:pPr>
            <w:r>
              <w:rPr>
                <w:sz w:val="16"/>
              </w:rPr>
              <w:t>REQ-SRCH-003</w:t>
            </w:r>
          </w:p>
        </w:tc>
        <w:tc>
          <w:tcPr>
            <w:tcW w:type="dxa" w:w="2484"/>
            <w:vAlign w:val="center"/>
            <w:shd w:fill="F2F5F8"/>
          </w:tcPr>
          <w:p>
            <w:pPr>
              <w:spacing w:after="20"/>
            </w:pPr>
            <w:r>
              <w:rPr>
                <w:sz w:val="16"/>
              </w:rPr>
              <w:t>Apply access permissions to search results and record details.</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Restricted records cannot be discovered via search.</w:t>
            </w:r>
          </w:p>
        </w:tc>
      </w:tr>
    </w:tbl>
    <w:p/>
    <w:p>
      <w:pPr>
        <w:pStyle w:val="Heading2"/>
      </w:pPr>
      <w:r>
        <w:t>4.8 Profitability Analysis</w:t>
      </w:r>
    </w:p>
    <w:p>
      <w:r>
        <w:t>Description: Profitability Analysis. Priority: High.</w:t>
      </w:r>
    </w:p>
    <w:p>
      <w:r>
        <w:t>Stimulus/response: An authorized user opens the module, enters or requests information, and RouteX checks permissions and validates data before saving or returning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233A52"/>
          </w:tcPr>
          <w:p>
            <w:r>
              <w:rPr>
                <w:b/>
                <w:color w:val="FFFFFF"/>
                <w:sz w:val="16"/>
              </w:rPr>
              <w:t>ID</w:t>
            </w:r>
          </w:p>
        </w:tc>
        <w:tc>
          <w:tcPr>
            <w:tcW w:type="dxa" w:w="2484"/>
            <w:shd w:fill="233A52"/>
          </w:tcPr>
          <w:p>
            <w:r>
              <w:rPr>
                <w:b/>
                <w:color w:val="FFFFFF"/>
                <w:sz w:val="16"/>
              </w:rPr>
              <w:t>Functional requirement</w:t>
            </w:r>
          </w:p>
        </w:tc>
        <w:tc>
          <w:tcPr>
            <w:tcW w:type="dxa" w:w="2484"/>
            <w:shd w:fill="233A52"/>
          </w:tcPr>
          <w:p>
            <w:r>
              <w:rPr>
                <w:b/>
                <w:color w:val="FFFFFF"/>
                <w:sz w:val="16"/>
              </w:rPr>
              <w:t>Priority</w:t>
            </w:r>
          </w:p>
        </w:tc>
        <w:tc>
          <w:tcPr>
            <w:tcW w:type="dxa" w:w="2484"/>
            <w:shd w:fill="233A52"/>
          </w:tcPr>
          <w:p>
            <w:r>
              <w:rPr>
                <w:b/>
                <w:color w:val="FFFFFF"/>
                <w:sz w:val="16"/>
              </w:rPr>
              <w:t>Acceptance / Validation</w:t>
            </w:r>
          </w:p>
        </w:tc>
      </w:tr>
      <w:tr>
        <w:tc>
          <w:tcPr>
            <w:tcW w:type="dxa" w:w="2484"/>
            <w:vAlign w:val="center"/>
            <w:shd w:fill="F2F5F8"/>
          </w:tcPr>
          <w:p>
            <w:pPr>
              <w:spacing w:after="20"/>
            </w:pPr>
            <w:r>
              <w:rPr>
                <w:sz w:val="16"/>
              </w:rPr>
              <w:t>REQ-PROF-001</w:t>
            </w:r>
          </w:p>
        </w:tc>
        <w:tc>
          <w:tcPr>
            <w:tcW w:type="dxa" w:w="2484"/>
            <w:vAlign w:val="center"/>
            <w:shd w:fill="F2F5F8"/>
          </w:tcPr>
          <w:p>
            <w:pPr>
              <w:spacing w:after="20"/>
            </w:pPr>
            <w:r>
              <w:rPr>
                <w:sz w:val="16"/>
              </w:rPr>
              <w:t>Calculate delivery profit from revenue minus the client-approved set of delivery costs.</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Result matches an approved test case.</w:t>
            </w:r>
          </w:p>
        </w:tc>
      </w:tr>
      <w:tr>
        <w:tc>
          <w:tcPr>
            <w:tcW w:type="dxa" w:w="2484"/>
            <w:vAlign w:val="center"/>
          </w:tcPr>
          <w:p>
            <w:pPr>
              <w:spacing w:after="20"/>
            </w:pPr>
            <w:r>
              <w:rPr>
                <w:sz w:val="16"/>
              </w:rPr>
              <w:t>REQ-PROF-002</w:t>
            </w:r>
          </w:p>
        </w:tc>
        <w:tc>
          <w:tcPr>
            <w:tcW w:type="dxa" w:w="2484"/>
            <w:vAlign w:val="center"/>
          </w:tcPr>
          <w:p>
            <w:pPr>
              <w:spacing w:after="20"/>
            </w:pPr>
            <w:r>
              <w:rPr>
                <w:sz w:val="16"/>
              </w:rPr>
              <w:t>Provide truck-level profitability for a selected truck and period.</w:t>
            </w:r>
          </w:p>
        </w:tc>
        <w:tc>
          <w:tcPr>
            <w:tcW w:type="dxa" w:w="2484"/>
            <w:vAlign w:val="center"/>
          </w:tcPr>
          <w:p>
            <w:pPr>
              <w:spacing w:after="20"/>
            </w:pPr>
            <w:r>
              <w:rPr>
                <w:sz w:val="16"/>
              </w:rPr>
              <w:t>High</w:t>
            </w:r>
          </w:p>
        </w:tc>
        <w:tc>
          <w:tcPr>
            <w:tcW w:type="dxa" w:w="2484"/>
            <w:vAlign w:val="center"/>
          </w:tcPr>
          <w:p>
            <w:pPr>
              <w:spacing w:after="20"/>
            </w:pPr>
            <w:r>
              <w:rPr>
                <w:sz w:val="16"/>
              </w:rPr>
              <w:t>Totals reconcile to included deliveries and approved truck costs.</w:t>
            </w:r>
          </w:p>
        </w:tc>
      </w:tr>
      <w:tr>
        <w:tc>
          <w:tcPr>
            <w:tcW w:type="dxa" w:w="2484"/>
            <w:vAlign w:val="center"/>
            <w:shd w:fill="F2F5F8"/>
          </w:tcPr>
          <w:p>
            <w:pPr>
              <w:spacing w:after="20"/>
            </w:pPr>
            <w:r>
              <w:rPr>
                <w:sz w:val="16"/>
              </w:rPr>
              <w:t>REQ-PROF-003</w:t>
            </w:r>
          </w:p>
        </w:tc>
        <w:tc>
          <w:tcPr>
            <w:tcW w:type="dxa" w:w="2484"/>
            <w:vAlign w:val="center"/>
            <w:shd w:fill="F2F5F8"/>
          </w:tcPr>
          <w:p>
            <w:pPr>
              <w:spacing w:after="20"/>
            </w:pPr>
            <w:r>
              <w:rPr>
                <w:sz w:val="16"/>
              </w:rPr>
              <w:t>Provide company-level profitability using applicable revenue and expenses for a selected period.</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Result reconciles to approved inclusion rules.</w:t>
            </w:r>
          </w:p>
        </w:tc>
      </w:tr>
      <w:tr>
        <w:tc>
          <w:tcPr>
            <w:tcW w:type="dxa" w:w="2484"/>
            <w:vAlign w:val="center"/>
          </w:tcPr>
          <w:p>
            <w:pPr>
              <w:spacing w:after="20"/>
            </w:pPr>
            <w:r>
              <w:rPr>
                <w:sz w:val="16"/>
              </w:rPr>
              <w:t>REQ-PROF-004</w:t>
            </w:r>
          </w:p>
        </w:tc>
        <w:tc>
          <w:tcPr>
            <w:tcW w:type="dxa" w:w="2484"/>
            <w:vAlign w:val="center"/>
          </w:tcPr>
          <w:p>
            <w:pPr>
              <w:spacing w:after="20"/>
            </w:pPr>
            <w:r>
              <w:rPr>
                <w:sz w:val="16"/>
              </w:rPr>
              <w:t>Never deduct the same expense more than once in company-level profitability.</w:t>
            </w:r>
          </w:p>
        </w:tc>
        <w:tc>
          <w:tcPr>
            <w:tcW w:type="dxa" w:w="2484"/>
            <w:vAlign w:val="center"/>
          </w:tcPr>
          <w:p>
            <w:pPr>
              <w:spacing w:after="20"/>
            </w:pPr>
            <w:r>
              <w:rPr>
                <w:sz w:val="16"/>
              </w:rPr>
              <w:t>High</w:t>
            </w:r>
          </w:p>
        </w:tc>
        <w:tc>
          <w:tcPr>
            <w:tcW w:type="dxa" w:w="2484"/>
            <w:vAlign w:val="center"/>
          </w:tcPr>
          <w:p>
            <w:pPr>
              <w:spacing w:after="20"/>
            </w:pPr>
            <w:r>
              <w:rPr>
                <w:sz w:val="16"/>
              </w:rPr>
              <w:t>Linked/shared expense is counted once.</w:t>
            </w:r>
          </w:p>
        </w:tc>
      </w:tr>
      <w:tr>
        <w:tc>
          <w:tcPr>
            <w:tcW w:type="dxa" w:w="2484"/>
            <w:vAlign w:val="center"/>
            <w:shd w:fill="F2F5F8"/>
          </w:tcPr>
          <w:p>
            <w:pPr>
              <w:spacing w:after="20"/>
            </w:pPr>
            <w:r>
              <w:rPr>
                <w:sz w:val="16"/>
              </w:rPr>
              <w:t>REQ-PROF-005</w:t>
            </w:r>
          </w:p>
        </w:tc>
        <w:tc>
          <w:tcPr>
            <w:tcW w:type="dxa" w:w="2484"/>
            <w:vAlign w:val="center"/>
            <w:shd w:fill="F2F5F8"/>
          </w:tcPr>
          <w:p>
            <w:pPr>
              <w:spacing w:after="20"/>
            </w:pPr>
            <w:r>
              <w:rPr>
                <w:sz w:val="16"/>
              </w:rPr>
              <w:t>Allow management to drill from company result to truck, delivery, and source expense records.</w:t>
            </w:r>
          </w:p>
        </w:tc>
        <w:tc>
          <w:tcPr>
            <w:tcW w:type="dxa" w:w="2484"/>
            <w:vAlign w:val="center"/>
            <w:shd w:fill="F2F5F8"/>
          </w:tcPr>
          <w:p>
            <w:pPr>
              <w:spacing w:after="20"/>
            </w:pPr>
            <w:r>
              <w:rPr>
                <w:sz w:val="16"/>
              </w:rPr>
              <w:t>Medium/Proposed</w:t>
            </w:r>
          </w:p>
        </w:tc>
        <w:tc>
          <w:tcPr>
            <w:tcW w:type="dxa" w:w="2484"/>
            <w:vAlign w:val="center"/>
            <w:shd w:fill="F2F5F8"/>
          </w:tcPr>
          <w:p>
            <w:pPr>
              <w:spacing w:after="20"/>
            </w:pPr>
            <w:r>
              <w:rPr>
                <w:sz w:val="16"/>
              </w:rPr>
              <w:t>Displayed totals trace to included records.</w:t>
            </w:r>
          </w:p>
        </w:tc>
      </w:tr>
      <w:tr>
        <w:tc>
          <w:tcPr>
            <w:tcW w:type="dxa" w:w="2484"/>
            <w:vAlign w:val="center"/>
          </w:tcPr>
          <w:p>
            <w:pPr>
              <w:spacing w:after="20"/>
            </w:pPr>
            <w:r>
              <w:rPr>
                <w:sz w:val="16"/>
              </w:rPr>
              <w:t>REQ-PROF-006</w:t>
            </w:r>
          </w:p>
        </w:tc>
        <w:tc>
          <w:tcPr>
            <w:tcW w:type="dxa" w:w="2484"/>
            <w:vAlign w:val="center"/>
          </w:tcPr>
          <w:p>
            <w:pPr>
              <w:spacing w:after="20"/>
            </w:pPr>
            <w:r>
              <w:rPr>
                <w:sz w:val="16"/>
              </w:rPr>
              <w:t>Do not calculate additional-hour/drop charges until trigger, rate, and rounding rules are approved.</w:t>
            </w:r>
          </w:p>
        </w:tc>
        <w:tc>
          <w:tcPr>
            <w:tcW w:type="dxa" w:w="2484"/>
            <w:vAlign w:val="center"/>
          </w:tcPr>
          <w:p>
            <w:pPr>
              <w:spacing w:after="20"/>
            </w:pPr>
            <w:r>
              <w:rPr>
                <w:sz w:val="16"/>
              </w:rPr>
              <w:t>High/TBD</w:t>
            </w:r>
          </w:p>
        </w:tc>
        <w:tc>
          <w:tcPr>
            <w:tcW w:type="dxa" w:w="2484"/>
            <w:vAlign w:val="center"/>
          </w:tcPr>
          <w:p>
            <w:pPr>
              <w:spacing w:after="20"/>
            </w:pPr>
            <w:r>
              <w:rPr>
                <w:sz w:val="16"/>
              </w:rPr>
              <w:t>Test cases follow the approved rules.</w:t>
            </w:r>
          </w:p>
        </w:tc>
      </w:tr>
      <w:tr>
        <w:tc>
          <w:tcPr>
            <w:tcW w:type="dxa" w:w="2484"/>
            <w:vAlign w:val="center"/>
            <w:shd w:fill="F2F5F8"/>
          </w:tcPr>
          <w:p>
            <w:pPr>
              <w:spacing w:after="20"/>
            </w:pPr>
            <w:r>
              <w:rPr>
                <w:sz w:val="16"/>
              </w:rPr>
              <w:t>REQ-PROF-007</w:t>
            </w:r>
          </w:p>
        </w:tc>
        <w:tc>
          <w:tcPr>
            <w:tcW w:type="dxa" w:w="2484"/>
            <w:vAlign w:val="center"/>
            <w:shd w:fill="F2F5F8"/>
          </w:tcPr>
          <w:p>
            <w:pPr>
              <w:spacing w:after="20"/>
            </w:pPr>
            <w:r>
              <w:rPr>
                <w:sz w:val="16"/>
              </w:rPr>
              <w:t>Display reporting period and distinguish revenue, expenses, profit, and margin percentage.</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Labels, period, and approved formula are visible.</w:t>
            </w:r>
          </w:p>
        </w:tc>
      </w:tr>
    </w:tbl>
    <w:p/>
    <w:p>
      <w:pPr>
        <w:pStyle w:val="Heading2"/>
      </w:pPr>
      <w:r>
        <w:t>4.9 Reports and Exports</w:t>
      </w:r>
    </w:p>
    <w:p>
      <w:r>
        <w:t>Description: Reports and Exports. Priority: High.</w:t>
      </w:r>
    </w:p>
    <w:p>
      <w:r>
        <w:t>Stimulus/response: An authorized user opens the module, enters or requests information, and RouteX checks permissions and validates data before saving or returning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233A52"/>
          </w:tcPr>
          <w:p>
            <w:r>
              <w:rPr>
                <w:b/>
                <w:color w:val="FFFFFF"/>
                <w:sz w:val="16"/>
              </w:rPr>
              <w:t>ID</w:t>
            </w:r>
          </w:p>
        </w:tc>
        <w:tc>
          <w:tcPr>
            <w:tcW w:type="dxa" w:w="2484"/>
            <w:shd w:fill="233A52"/>
          </w:tcPr>
          <w:p>
            <w:r>
              <w:rPr>
                <w:b/>
                <w:color w:val="FFFFFF"/>
                <w:sz w:val="16"/>
              </w:rPr>
              <w:t>Functional requirement</w:t>
            </w:r>
          </w:p>
        </w:tc>
        <w:tc>
          <w:tcPr>
            <w:tcW w:type="dxa" w:w="2484"/>
            <w:shd w:fill="233A52"/>
          </w:tcPr>
          <w:p>
            <w:r>
              <w:rPr>
                <w:b/>
                <w:color w:val="FFFFFF"/>
                <w:sz w:val="16"/>
              </w:rPr>
              <w:t>Priority</w:t>
            </w:r>
          </w:p>
        </w:tc>
        <w:tc>
          <w:tcPr>
            <w:tcW w:type="dxa" w:w="2484"/>
            <w:shd w:fill="233A52"/>
          </w:tcPr>
          <w:p>
            <w:r>
              <w:rPr>
                <w:b/>
                <w:color w:val="FFFFFF"/>
                <w:sz w:val="16"/>
              </w:rPr>
              <w:t>Acceptance / Validation</w:t>
            </w:r>
          </w:p>
        </w:tc>
      </w:tr>
      <w:tr>
        <w:tc>
          <w:tcPr>
            <w:tcW w:type="dxa" w:w="2484"/>
            <w:vAlign w:val="center"/>
            <w:shd w:fill="F2F5F8"/>
          </w:tcPr>
          <w:p>
            <w:pPr>
              <w:spacing w:after="20"/>
            </w:pPr>
            <w:r>
              <w:rPr>
                <w:sz w:val="16"/>
              </w:rPr>
              <w:t>REQ-REP-001</w:t>
            </w:r>
          </w:p>
        </w:tc>
        <w:tc>
          <w:tcPr>
            <w:tcW w:type="dxa" w:w="2484"/>
            <w:vAlign w:val="center"/>
            <w:shd w:fill="F2F5F8"/>
          </w:tcPr>
          <w:p>
            <w:pPr>
              <w:spacing w:after="20"/>
            </w:pPr>
            <w:r>
              <w:rPr>
                <w:sz w:val="16"/>
              </w:rPr>
              <w:t>Generate delivery-activity reports for a selected period.</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Report matches the selected period.</w:t>
            </w:r>
          </w:p>
        </w:tc>
      </w:tr>
      <w:tr>
        <w:tc>
          <w:tcPr>
            <w:tcW w:type="dxa" w:w="2484"/>
            <w:vAlign w:val="center"/>
          </w:tcPr>
          <w:p>
            <w:pPr>
              <w:spacing w:after="20"/>
            </w:pPr>
            <w:r>
              <w:rPr>
                <w:sz w:val="16"/>
              </w:rPr>
              <w:t>REQ-REP-002</w:t>
            </w:r>
          </w:p>
        </w:tc>
        <w:tc>
          <w:tcPr>
            <w:tcW w:type="dxa" w:w="2484"/>
            <w:vAlign w:val="center"/>
          </w:tcPr>
          <w:p>
            <w:pPr>
              <w:spacing w:after="20"/>
            </w:pPr>
            <w:r>
              <w:rPr>
                <w:sz w:val="16"/>
              </w:rPr>
              <w:t>Generate revenue, expense, and profitability reports using approved rules.</w:t>
            </w:r>
          </w:p>
        </w:tc>
        <w:tc>
          <w:tcPr>
            <w:tcW w:type="dxa" w:w="2484"/>
            <w:vAlign w:val="center"/>
          </w:tcPr>
          <w:p>
            <w:pPr>
              <w:spacing w:after="20"/>
            </w:pPr>
            <w:r>
              <w:rPr>
                <w:sz w:val="16"/>
              </w:rPr>
              <w:t>High</w:t>
            </w:r>
          </w:p>
        </w:tc>
        <w:tc>
          <w:tcPr>
            <w:tcW w:type="dxa" w:w="2484"/>
            <w:vAlign w:val="center"/>
          </w:tcPr>
          <w:p>
            <w:pPr>
              <w:spacing w:after="20"/>
            </w:pPr>
            <w:r>
              <w:rPr>
                <w:sz w:val="16"/>
              </w:rPr>
              <w:t>Totals reconcile to filtered records.</w:t>
            </w:r>
          </w:p>
        </w:tc>
      </w:tr>
      <w:tr>
        <w:tc>
          <w:tcPr>
            <w:tcW w:type="dxa" w:w="2484"/>
            <w:vAlign w:val="center"/>
            <w:shd w:fill="F2F5F8"/>
          </w:tcPr>
          <w:p>
            <w:pPr>
              <w:spacing w:after="20"/>
            </w:pPr>
            <w:r>
              <w:rPr>
                <w:sz w:val="16"/>
              </w:rPr>
              <w:t>REQ-REP-003</w:t>
            </w:r>
          </w:p>
        </w:tc>
        <w:tc>
          <w:tcPr>
            <w:tcW w:type="dxa" w:w="2484"/>
            <w:vAlign w:val="center"/>
            <w:shd w:fill="F2F5F8"/>
          </w:tcPr>
          <w:p>
            <w:pPr>
              <w:spacing w:after="20"/>
            </w:pPr>
            <w:r>
              <w:rPr>
                <w:sz w:val="16"/>
              </w:rPr>
              <w:t>Provide printable/exportable reports in client-approved formats.</w:t>
            </w:r>
          </w:p>
        </w:tc>
        <w:tc>
          <w:tcPr>
            <w:tcW w:type="dxa" w:w="2484"/>
            <w:vAlign w:val="center"/>
            <w:shd w:fill="F2F5F8"/>
          </w:tcPr>
          <w:p>
            <w:pPr>
              <w:spacing w:after="20"/>
            </w:pPr>
            <w:r>
              <w:rPr>
                <w:sz w:val="16"/>
              </w:rPr>
              <w:t>Medium</w:t>
            </w:r>
          </w:p>
        </w:tc>
        <w:tc>
          <w:tcPr>
            <w:tcW w:type="dxa" w:w="2484"/>
            <w:vAlign w:val="center"/>
            <w:shd w:fill="F2F5F8"/>
          </w:tcPr>
          <w:p>
            <w:pPr>
              <w:spacing w:after="20"/>
            </w:pPr>
            <w:r>
              <w:rPr>
                <w:sz w:val="16"/>
              </w:rPr>
              <w:t>Export retains essential columns and totals.</w:t>
            </w:r>
          </w:p>
        </w:tc>
      </w:tr>
      <w:tr>
        <w:tc>
          <w:tcPr>
            <w:tcW w:type="dxa" w:w="2484"/>
            <w:vAlign w:val="center"/>
          </w:tcPr>
          <w:p>
            <w:pPr>
              <w:spacing w:after="20"/>
            </w:pPr>
            <w:r>
              <w:rPr>
                <w:sz w:val="16"/>
              </w:rPr>
              <w:t>REQ-REP-004</w:t>
            </w:r>
          </w:p>
        </w:tc>
        <w:tc>
          <w:tcPr>
            <w:tcW w:type="dxa" w:w="2484"/>
            <w:vAlign w:val="center"/>
          </w:tcPr>
          <w:p>
            <w:pPr>
              <w:spacing w:after="20"/>
            </w:pPr>
            <w:r>
              <w:rPr>
                <w:sz w:val="16"/>
              </w:rPr>
              <w:t>Enforce permissions before generating or exporting sensitive reports.</w:t>
            </w:r>
          </w:p>
        </w:tc>
        <w:tc>
          <w:tcPr>
            <w:tcW w:type="dxa" w:w="2484"/>
            <w:vAlign w:val="center"/>
          </w:tcPr>
          <w:p>
            <w:pPr>
              <w:spacing w:after="20"/>
            </w:pPr>
            <w:r>
              <w:rPr>
                <w:sz w:val="16"/>
              </w:rPr>
              <w:t>High</w:t>
            </w:r>
          </w:p>
        </w:tc>
        <w:tc>
          <w:tcPr>
            <w:tcW w:type="dxa" w:w="2484"/>
            <w:vAlign w:val="center"/>
          </w:tcPr>
          <w:p>
            <w:pPr>
              <w:spacing w:after="20"/>
            </w:pPr>
            <w:r>
              <w:rPr>
                <w:sz w:val="16"/>
              </w:rPr>
              <w:t>Unauthorized export is denied.</w:t>
            </w:r>
          </w:p>
        </w:tc>
      </w:tr>
    </w:tbl>
    <w:p/>
    <w:p>
      <w:pPr>
        <w:pStyle w:val="Heading2"/>
      </w:pPr>
      <w:r>
        <w:t>4.10 Audit and Administration</w:t>
      </w:r>
    </w:p>
    <w:p>
      <w:r>
        <w:t>Description: Audit and Administration. Priority: High.</w:t>
      </w:r>
    </w:p>
    <w:p>
      <w:r>
        <w:t>Stimulus/response: An authorized user opens the module, enters or requests information, and RouteX checks permissions and validates data before saving or returning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233A52"/>
          </w:tcPr>
          <w:p>
            <w:r>
              <w:rPr>
                <w:b/>
                <w:color w:val="FFFFFF"/>
                <w:sz w:val="16"/>
              </w:rPr>
              <w:t>ID</w:t>
            </w:r>
          </w:p>
        </w:tc>
        <w:tc>
          <w:tcPr>
            <w:tcW w:type="dxa" w:w="2484"/>
            <w:shd w:fill="233A52"/>
          </w:tcPr>
          <w:p>
            <w:r>
              <w:rPr>
                <w:b/>
                <w:color w:val="FFFFFF"/>
                <w:sz w:val="16"/>
              </w:rPr>
              <w:t>Functional requirement</w:t>
            </w:r>
          </w:p>
        </w:tc>
        <w:tc>
          <w:tcPr>
            <w:tcW w:type="dxa" w:w="2484"/>
            <w:shd w:fill="233A52"/>
          </w:tcPr>
          <w:p>
            <w:r>
              <w:rPr>
                <w:b/>
                <w:color w:val="FFFFFF"/>
                <w:sz w:val="16"/>
              </w:rPr>
              <w:t>Priority</w:t>
            </w:r>
          </w:p>
        </w:tc>
        <w:tc>
          <w:tcPr>
            <w:tcW w:type="dxa" w:w="2484"/>
            <w:shd w:fill="233A52"/>
          </w:tcPr>
          <w:p>
            <w:r>
              <w:rPr>
                <w:b/>
                <w:color w:val="FFFFFF"/>
                <w:sz w:val="16"/>
              </w:rPr>
              <w:t>Acceptance / Validation</w:t>
            </w:r>
          </w:p>
        </w:tc>
      </w:tr>
      <w:tr>
        <w:tc>
          <w:tcPr>
            <w:tcW w:type="dxa" w:w="2484"/>
            <w:vAlign w:val="center"/>
            <w:shd w:fill="F2F5F8"/>
          </w:tcPr>
          <w:p>
            <w:pPr>
              <w:spacing w:after="20"/>
            </w:pPr>
            <w:r>
              <w:rPr>
                <w:sz w:val="16"/>
              </w:rPr>
              <w:t>REQ-AUD-001</w:t>
            </w:r>
          </w:p>
        </w:tc>
        <w:tc>
          <w:tcPr>
            <w:tcW w:type="dxa" w:w="2484"/>
            <w:vAlign w:val="center"/>
            <w:shd w:fill="F2F5F8"/>
          </w:tcPr>
          <w:p>
            <w:pPr>
              <w:spacing w:after="20"/>
            </w:pPr>
            <w:r>
              <w:rPr>
                <w:sz w:val="16"/>
              </w:rPr>
              <w:t>Record creation, modification, deletion/deactivation of important records with actor and timestamp where applicable.</w:t>
            </w:r>
          </w:p>
        </w:tc>
        <w:tc>
          <w:tcPr>
            <w:tcW w:type="dxa" w:w="2484"/>
            <w:vAlign w:val="center"/>
            <w:shd w:fill="F2F5F8"/>
          </w:tcPr>
          <w:p>
            <w:pPr>
              <w:spacing w:after="20"/>
            </w:pPr>
            <w:r>
              <w:rPr>
                <w:sz w:val="16"/>
              </w:rPr>
              <w:t>High</w:t>
            </w:r>
          </w:p>
        </w:tc>
        <w:tc>
          <w:tcPr>
            <w:tcW w:type="dxa" w:w="2484"/>
            <w:vAlign w:val="center"/>
            <w:shd w:fill="F2F5F8"/>
          </w:tcPr>
          <w:p>
            <w:pPr>
              <w:spacing w:after="20"/>
            </w:pPr>
            <w:r>
              <w:rPr>
                <w:sz w:val="16"/>
              </w:rPr>
              <w:t>Audit entry identifies actor, action, target, and time.</w:t>
            </w:r>
          </w:p>
        </w:tc>
      </w:tr>
      <w:tr>
        <w:tc>
          <w:tcPr>
            <w:tcW w:type="dxa" w:w="2484"/>
            <w:vAlign w:val="center"/>
          </w:tcPr>
          <w:p>
            <w:pPr>
              <w:spacing w:after="20"/>
            </w:pPr>
            <w:r>
              <w:rPr>
                <w:sz w:val="16"/>
              </w:rPr>
              <w:t>REQ-AUD-002</w:t>
            </w:r>
          </w:p>
        </w:tc>
        <w:tc>
          <w:tcPr>
            <w:tcW w:type="dxa" w:w="2484"/>
            <w:vAlign w:val="center"/>
          </w:tcPr>
          <w:p>
            <w:pPr>
              <w:spacing w:after="20"/>
            </w:pPr>
            <w:r>
              <w:rPr>
                <w:sz w:val="16"/>
              </w:rPr>
              <w:t>Keep administration separate from permission to edit financial records.</w:t>
            </w:r>
          </w:p>
        </w:tc>
        <w:tc>
          <w:tcPr>
            <w:tcW w:type="dxa" w:w="2484"/>
            <w:vAlign w:val="center"/>
          </w:tcPr>
          <w:p>
            <w:pPr>
              <w:spacing w:after="20"/>
            </w:pPr>
            <w:r>
              <w:rPr>
                <w:sz w:val="16"/>
              </w:rPr>
              <w:t>High</w:t>
            </w:r>
          </w:p>
        </w:tc>
        <w:tc>
          <w:tcPr>
            <w:tcW w:type="dxa" w:w="2484"/>
            <w:vAlign w:val="center"/>
          </w:tcPr>
          <w:p>
            <w:pPr>
              <w:spacing w:after="20"/>
            </w:pPr>
            <w:r>
              <w:rPr>
                <w:sz w:val="16"/>
              </w:rPr>
              <w:t>Admin without finance permission cannot change financial amounts.</w:t>
            </w:r>
          </w:p>
        </w:tc>
      </w:tr>
      <w:tr>
        <w:tc>
          <w:tcPr>
            <w:tcW w:type="dxa" w:w="2484"/>
            <w:vAlign w:val="center"/>
            <w:shd w:fill="F2F5F8"/>
          </w:tcPr>
          <w:p>
            <w:pPr>
              <w:spacing w:after="20"/>
            </w:pPr>
            <w:r>
              <w:rPr>
                <w:sz w:val="16"/>
              </w:rPr>
              <w:t>REQ-AUD-003</w:t>
            </w:r>
          </w:p>
        </w:tc>
        <w:tc>
          <w:tcPr>
            <w:tcW w:type="dxa" w:w="2484"/>
            <w:vAlign w:val="center"/>
            <w:shd w:fill="F2F5F8"/>
          </w:tcPr>
          <w:p>
            <w:pPr>
              <w:spacing w:after="20"/>
            </w:pPr>
            <w:r>
              <w:rPr>
                <w:sz w:val="16"/>
              </w:rPr>
              <w:t>Allow authorized administrators to retrieve relevant activity logs.</w:t>
            </w:r>
          </w:p>
        </w:tc>
        <w:tc>
          <w:tcPr>
            <w:tcW w:type="dxa" w:w="2484"/>
            <w:vAlign w:val="center"/>
            <w:shd w:fill="F2F5F8"/>
          </w:tcPr>
          <w:p>
            <w:pPr>
              <w:spacing w:after="20"/>
            </w:pPr>
            <w:r>
              <w:rPr>
                <w:sz w:val="16"/>
              </w:rPr>
              <w:t>Medium</w:t>
            </w:r>
          </w:p>
        </w:tc>
        <w:tc>
          <w:tcPr>
            <w:tcW w:type="dxa" w:w="2484"/>
            <w:vAlign w:val="center"/>
            <w:shd w:fill="F2F5F8"/>
          </w:tcPr>
          <w:p>
            <w:pPr>
              <w:spacing w:after="20"/>
            </w:pPr>
            <w:r>
              <w:rPr>
                <w:sz w:val="16"/>
              </w:rPr>
              <w:t>Authorized access works; other roles are denied.</w:t>
            </w:r>
          </w:p>
        </w:tc>
      </w:tr>
    </w:tbl>
    <w:p/>
    <w:p>
      <w:pPr>
        <w:pStyle w:val="Heading1"/>
      </w:pPr>
      <w:r>
        <w:t>5. Other Nonfunctional Requirements</w:t>
      </w:r>
    </w:p>
    <w:p>
      <w:pPr>
        <w:pStyle w:val="Heading2"/>
      </w:pPr>
      <w:r>
        <w:t>5.1 Performance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33A52"/>
          </w:tcPr>
          <w:p>
            <w:r>
              <w:rPr>
                <w:b/>
                <w:color w:val="FFFFFF"/>
                <w:sz w:val="16"/>
              </w:rPr>
              <w:t>ID</w:t>
            </w:r>
          </w:p>
        </w:tc>
        <w:tc>
          <w:tcPr>
            <w:tcW w:type="dxa" w:w="3312"/>
            <w:shd w:fill="233A52"/>
          </w:tcPr>
          <w:p>
            <w:r>
              <w:rPr>
                <w:b/>
                <w:color w:val="FFFFFF"/>
                <w:sz w:val="16"/>
              </w:rPr>
              <w:t>Requirement</w:t>
            </w:r>
          </w:p>
        </w:tc>
        <w:tc>
          <w:tcPr>
            <w:tcW w:type="dxa" w:w="3312"/>
            <w:shd w:fill="233A52"/>
          </w:tcPr>
          <w:p>
            <w:r>
              <w:rPr>
                <w:b/>
                <w:color w:val="FFFFFF"/>
                <w:sz w:val="16"/>
              </w:rPr>
              <w:t>Validation</w:t>
            </w:r>
          </w:p>
        </w:tc>
      </w:tr>
      <w:tr>
        <w:tc>
          <w:tcPr>
            <w:tcW w:type="dxa" w:w="3312"/>
            <w:vAlign w:val="center"/>
            <w:shd w:fill="F2F5F8"/>
          </w:tcPr>
          <w:p>
            <w:pPr>
              <w:spacing w:after="20"/>
            </w:pPr>
            <w:r>
              <w:rPr>
                <w:sz w:val="16"/>
              </w:rPr>
              <w:t>NFR-PERF-001</w:t>
            </w:r>
          </w:p>
        </w:tc>
        <w:tc>
          <w:tcPr>
            <w:tcW w:type="dxa" w:w="3312"/>
            <w:vAlign w:val="center"/>
            <w:shd w:fill="F2F5F8"/>
          </w:tcPr>
          <w:p>
            <w:pPr>
              <w:spacing w:after="20"/>
            </w:pPr>
            <w:r>
              <w:rPr>
                <w:sz w:val="16"/>
              </w:rPr>
              <w:t>Common screens/searches should respond within 3 seconds under an agreed normal test load. Proposed threshold; approval required.</w:t>
            </w:r>
          </w:p>
        </w:tc>
        <w:tc>
          <w:tcPr>
            <w:tcW w:type="dxa" w:w="3312"/>
            <w:vAlign w:val="center"/>
            <w:shd w:fill="F2F5F8"/>
          </w:tcPr>
          <w:p>
            <w:pPr>
              <w:spacing w:after="20"/>
            </w:pPr>
            <w:r>
              <w:rPr>
                <w:sz w:val="16"/>
              </w:rPr>
              <w:t>Measure with documented dataset and environment.</w:t>
            </w:r>
          </w:p>
        </w:tc>
      </w:tr>
      <w:tr>
        <w:tc>
          <w:tcPr>
            <w:tcW w:type="dxa" w:w="3312"/>
            <w:vAlign w:val="center"/>
          </w:tcPr>
          <w:p>
            <w:pPr>
              <w:spacing w:after="20"/>
            </w:pPr>
            <w:r>
              <w:rPr>
                <w:sz w:val="16"/>
              </w:rPr>
              <w:t>NFR-PERF-002</w:t>
            </w:r>
          </w:p>
        </w:tc>
        <w:tc>
          <w:tcPr>
            <w:tcW w:type="dxa" w:w="3312"/>
            <w:vAlign w:val="center"/>
          </w:tcPr>
          <w:p>
            <w:pPr>
              <w:spacing w:after="20"/>
            </w:pPr>
            <w:r>
              <w:rPr>
                <w:sz w:val="16"/>
              </w:rPr>
              <w:t>Reports should complete within 10 seconds for an agreed normal dataset, excluding unusually large exports. Proposed threshold; approval required.</w:t>
            </w:r>
          </w:p>
        </w:tc>
        <w:tc>
          <w:tcPr>
            <w:tcW w:type="dxa" w:w="3312"/>
            <w:vAlign w:val="center"/>
          </w:tcPr>
          <w:p>
            <w:pPr>
              <w:spacing w:after="20"/>
            </w:pPr>
            <w:r>
              <w:rPr>
                <w:sz w:val="16"/>
              </w:rPr>
              <w:t>Measure representative report generation.</w:t>
            </w:r>
          </w:p>
        </w:tc>
      </w:tr>
      <w:tr>
        <w:tc>
          <w:tcPr>
            <w:tcW w:type="dxa" w:w="3312"/>
            <w:vAlign w:val="center"/>
            <w:shd w:fill="F2F5F8"/>
          </w:tcPr>
          <w:p>
            <w:pPr>
              <w:spacing w:after="20"/>
            </w:pPr>
            <w:r>
              <w:rPr>
                <w:sz w:val="16"/>
              </w:rPr>
              <w:t>NFR-PERF-003</w:t>
            </w:r>
          </w:p>
        </w:tc>
        <w:tc>
          <w:tcPr>
            <w:tcW w:type="dxa" w:w="3312"/>
            <w:vAlign w:val="center"/>
            <w:shd w:fill="F2F5F8"/>
          </w:tcPr>
          <w:p>
            <w:pPr>
              <w:spacing w:after="20"/>
            </w:pPr>
            <w:r>
              <w:rPr>
                <w:sz w:val="16"/>
              </w:rPr>
              <w:t>Show a loading state for noticeable operations and prevent accidental duplicate submissions where practical.</w:t>
            </w:r>
          </w:p>
        </w:tc>
        <w:tc>
          <w:tcPr>
            <w:tcW w:type="dxa" w:w="3312"/>
            <w:vAlign w:val="center"/>
            <w:shd w:fill="F2F5F8"/>
          </w:tcPr>
          <w:p>
            <w:pPr>
              <w:spacing w:after="20"/>
            </w:pPr>
            <w:r>
              <w:rPr>
                <w:sz w:val="16"/>
              </w:rPr>
              <w:t>Test slow responses and repeated submissions.</w:t>
            </w:r>
          </w:p>
        </w:tc>
      </w:tr>
    </w:tbl>
    <w:p/>
    <w:p>
      <w:pPr>
        <w:pStyle w:val="Heading2"/>
      </w:pPr>
      <w:r>
        <w:t>5.2 Safety Requirements</w:t>
      </w:r>
    </w:p>
    <w:p>
      <w:pPr>
        <w:pStyle w:val="ListBullet"/>
      </w:pPr>
      <w:r>
        <w:t>RouteX does not control vehicles or provide safety-critical driving instructions.</w:t>
      </w:r>
    </w:p>
    <w:p>
      <w:pPr>
        <w:pStyle w:val="ListBullet"/>
      </w:pPr>
      <w:r>
        <w:t>Warn users before irreversible deletion/deactivation.</w:t>
      </w:r>
    </w:p>
    <w:p>
      <w:pPr>
        <w:pStyle w:val="ListBullet"/>
      </w:pPr>
      <w:r>
        <w:t>Protect records from accidental loss through controlled changes and backups; backup details remain TBD.</w:t>
      </w:r>
    </w:p>
    <w:p>
      <w:pPr>
        <w:pStyle w:val="Heading2"/>
      </w:pPr>
      <w:r>
        <w:t>5.3 Security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33A52"/>
          </w:tcPr>
          <w:p>
            <w:r>
              <w:rPr>
                <w:b/>
                <w:color w:val="FFFFFF"/>
                <w:sz w:val="16"/>
              </w:rPr>
              <w:t>ID</w:t>
            </w:r>
          </w:p>
        </w:tc>
        <w:tc>
          <w:tcPr>
            <w:tcW w:type="dxa" w:w="3312"/>
            <w:shd w:fill="233A52"/>
          </w:tcPr>
          <w:p>
            <w:r>
              <w:rPr>
                <w:b/>
                <w:color w:val="FFFFFF"/>
                <w:sz w:val="16"/>
              </w:rPr>
              <w:t>Requirement</w:t>
            </w:r>
          </w:p>
        </w:tc>
        <w:tc>
          <w:tcPr>
            <w:tcW w:type="dxa" w:w="3312"/>
            <w:shd w:fill="233A52"/>
          </w:tcPr>
          <w:p>
            <w:r>
              <w:rPr>
                <w:b/>
                <w:color w:val="FFFFFF"/>
                <w:sz w:val="16"/>
              </w:rPr>
              <w:t>Validation</w:t>
            </w:r>
          </w:p>
        </w:tc>
      </w:tr>
      <w:tr>
        <w:tc>
          <w:tcPr>
            <w:tcW w:type="dxa" w:w="3312"/>
            <w:vAlign w:val="center"/>
            <w:shd w:fill="F2F5F8"/>
          </w:tcPr>
          <w:p>
            <w:pPr>
              <w:spacing w:after="20"/>
            </w:pPr>
            <w:r>
              <w:rPr>
                <w:sz w:val="16"/>
              </w:rPr>
              <w:t>NFR-SEC-001</w:t>
            </w:r>
          </w:p>
        </w:tc>
        <w:tc>
          <w:tcPr>
            <w:tcW w:type="dxa" w:w="3312"/>
            <w:vAlign w:val="center"/>
            <w:shd w:fill="F2F5F8"/>
          </w:tcPr>
          <w:p>
            <w:pPr>
              <w:spacing w:after="20"/>
            </w:pPr>
            <w:r>
              <w:rPr>
                <w:sz w:val="16"/>
              </w:rPr>
              <w:t>Passwords shall not be stored/displayed in plain text; use secure authentication-provider practices.</w:t>
            </w:r>
          </w:p>
        </w:tc>
        <w:tc>
          <w:tcPr>
            <w:tcW w:type="dxa" w:w="3312"/>
            <w:vAlign w:val="center"/>
            <w:shd w:fill="F2F5F8"/>
          </w:tcPr>
          <w:p>
            <w:pPr>
              <w:spacing w:after="20"/>
            </w:pPr>
            <w:r>
              <w:rPr>
                <w:sz w:val="16"/>
              </w:rPr>
              <w:t>Review authentication setup.</w:t>
            </w:r>
          </w:p>
        </w:tc>
      </w:tr>
      <w:tr>
        <w:tc>
          <w:tcPr>
            <w:tcW w:type="dxa" w:w="3312"/>
            <w:vAlign w:val="center"/>
          </w:tcPr>
          <w:p>
            <w:pPr>
              <w:spacing w:after="20"/>
            </w:pPr>
            <w:r>
              <w:rPr>
                <w:sz w:val="16"/>
              </w:rPr>
              <w:t>NFR-SEC-002</w:t>
            </w:r>
          </w:p>
        </w:tc>
        <w:tc>
          <w:tcPr>
            <w:tcW w:type="dxa" w:w="3312"/>
            <w:vAlign w:val="center"/>
          </w:tcPr>
          <w:p>
            <w:pPr>
              <w:spacing w:after="20"/>
            </w:pPr>
            <w:r>
              <w:rPr>
                <w:sz w:val="16"/>
              </w:rPr>
              <w:t>Production traffic shall use HTTPS/TLS.</w:t>
            </w:r>
          </w:p>
        </w:tc>
        <w:tc>
          <w:tcPr>
            <w:tcW w:type="dxa" w:w="3312"/>
            <w:vAlign w:val="center"/>
          </w:tcPr>
          <w:p>
            <w:pPr>
              <w:spacing w:after="20"/>
            </w:pPr>
            <w:r>
              <w:rPr>
                <w:sz w:val="16"/>
              </w:rPr>
              <w:t>Verify deployed application.</w:t>
            </w:r>
          </w:p>
        </w:tc>
      </w:tr>
      <w:tr>
        <w:tc>
          <w:tcPr>
            <w:tcW w:type="dxa" w:w="3312"/>
            <w:vAlign w:val="center"/>
            <w:shd w:fill="F2F5F8"/>
          </w:tcPr>
          <w:p>
            <w:pPr>
              <w:spacing w:after="20"/>
            </w:pPr>
            <w:r>
              <w:rPr>
                <w:sz w:val="16"/>
              </w:rPr>
              <w:t>NFR-SEC-003</w:t>
            </w:r>
          </w:p>
        </w:tc>
        <w:tc>
          <w:tcPr>
            <w:tcW w:type="dxa" w:w="3312"/>
            <w:vAlign w:val="center"/>
            <w:shd w:fill="F2F5F8"/>
          </w:tcPr>
          <w:p>
            <w:pPr>
              <w:spacing w:after="20"/>
            </w:pPr>
            <w:r>
              <w:rPr>
                <w:sz w:val="16"/>
              </w:rPr>
              <w:t>Server-side authorization shall protect records, mutations, and file access.</w:t>
            </w:r>
          </w:p>
        </w:tc>
        <w:tc>
          <w:tcPr>
            <w:tcW w:type="dxa" w:w="3312"/>
            <w:vAlign w:val="center"/>
            <w:shd w:fill="F2F5F8"/>
          </w:tcPr>
          <w:p>
            <w:pPr>
              <w:spacing w:after="20"/>
            </w:pPr>
            <w:r>
              <w:rPr>
                <w:sz w:val="16"/>
              </w:rPr>
              <w:t>Test unauthorized direct requests.</w:t>
            </w:r>
          </w:p>
        </w:tc>
      </w:tr>
      <w:tr>
        <w:tc>
          <w:tcPr>
            <w:tcW w:type="dxa" w:w="3312"/>
            <w:vAlign w:val="center"/>
          </w:tcPr>
          <w:p>
            <w:pPr>
              <w:spacing w:after="20"/>
            </w:pPr>
            <w:r>
              <w:rPr>
                <w:sz w:val="16"/>
              </w:rPr>
              <w:t>NFR-SEC-004</w:t>
            </w:r>
          </w:p>
        </w:tc>
        <w:tc>
          <w:tcPr>
            <w:tcW w:type="dxa" w:w="3312"/>
            <w:vAlign w:val="center"/>
          </w:tcPr>
          <w:p>
            <w:pPr>
              <w:spacing w:after="20"/>
            </w:pPr>
            <w:r>
              <w:rPr>
                <w:sz w:val="16"/>
              </w:rPr>
              <w:t>Secrets, database credentials, and service-role keys shall not be exposed to client-side code.</w:t>
            </w:r>
          </w:p>
        </w:tc>
        <w:tc>
          <w:tcPr>
            <w:tcW w:type="dxa" w:w="3312"/>
            <w:vAlign w:val="center"/>
          </w:tcPr>
          <w:p>
            <w:pPr>
              <w:spacing w:after="20"/>
            </w:pPr>
            <w:r>
              <w:rPr>
                <w:sz w:val="16"/>
              </w:rPr>
              <w:t>Inspect environment handling and client assets.</w:t>
            </w:r>
          </w:p>
        </w:tc>
      </w:tr>
      <w:tr>
        <w:tc>
          <w:tcPr>
            <w:tcW w:type="dxa" w:w="3312"/>
            <w:vAlign w:val="center"/>
            <w:shd w:fill="F2F5F8"/>
          </w:tcPr>
          <w:p>
            <w:pPr>
              <w:spacing w:after="20"/>
            </w:pPr>
            <w:r>
              <w:rPr>
                <w:sz w:val="16"/>
              </w:rPr>
              <w:t>NFR-SEC-005</w:t>
            </w:r>
          </w:p>
        </w:tc>
        <w:tc>
          <w:tcPr>
            <w:tcW w:type="dxa" w:w="3312"/>
            <w:vAlign w:val="center"/>
            <w:shd w:fill="F2F5F8"/>
          </w:tcPr>
          <w:p>
            <w:pPr>
              <w:spacing w:after="20"/>
            </w:pPr>
            <w:r>
              <w:rPr>
                <w:sz w:val="16"/>
              </w:rPr>
              <w:t>Audit important changes without logging passwords or unnecessary sensitive content.</w:t>
            </w:r>
          </w:p>
        </w:tc>
        <w:tc>
          <w:tcPr>
            <w:tcW w:type="dxa" w:w="3312"/>
            <w:vAlign w:val="center"/>
            <w:shd w:fill="F2F5F8"/>
          </w:tcPr>
          <w:p>
            <w:pPr>
              <w:spacing w:after="20"/>
            </w:pPr>
            <w:r>
              <w:rPr>
                <w:sz w:val="16"/>
              </w:rPr>
              <w:t>Review representative events.</w:t>
            </w:r>
          </w:p>
        </w:tc>
      </w:tr>
      <w:tr>
        <w:tc>
          <w:tcPr>
            <w:tcW w:type="dxa" w:w="3312"/>
            <w:vAlign w:val="center"/>
          </w:tcPr>
          <w:p>
            <w:pPr>
              <w:spacing w:after="20"/>
            </w:pPr>
            <w:r>
              <w:rPr>
                <w:sz w:val="16"/>
              </w:rPr>
              <w:t>NFR-SEC-006</w:t>
            </w:r>
          </w:p>
        </w:tc>
        <w:tc>
          <w:tcPr>
            <w:tcW w:type="dxa" w:w="3312"/>
            <w:vAlign w:val="center"/>
          </w:tcPr>
          <w:p>
            <w:pPr>
              <w:spacing w:after="20"/>
            </w:pPr>
            <w:r>
              <w:rPr>
                <w:sz w:val="16"/>
              </w:rPr>
              <w:t>Handle personal data consistently with applicable Philippine data-protection requirements.</w:t>
            </w:r>
          </w:p>
        </w:tc>
        <w:tc>
          <w:tcPr>
            <w:tcW w:type="dxa" w:w="3312"/>
            <w:vAlign w:val="center"/>
          </w:tcPr>
          <w:p>
            <w:pPr>
              <w:spacing w:after="20"/>
            </w:pPr>
            <w:r>
              <w:rPr>
                <w:sz w:val="16"/>
              </w:rPr>
              <w:t>Review access, retention, and privacy practices.</w:t>
            </w:r>
          </w:p>
        </w:tc>
      </w:tr>
    </w:tbl>
    <w:p/>
    <w:p>
      <w:pPr>
        <w:pStyle w:val="Heading2"/>
      </w:pPr>
      <w:r>
        <w:t>5.4 Software Quality Attributes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33A52"/>
          </w:tcPr>
          <w:p>
            <w:r>
              <w:rPr>
                <w:b/>
                <w:color w:val="FFFFFF"/>
                <w:sz w:val="16"/>
              </w:rPr>
              <w:t>ID</w:t>
            </w:r>
          </w:p>
        </w:tc>
        <w:tc>
          <w:tcPr>
            <w:tcW w:type="dxa" w:w="3312"/>
            <w:shd w:fill="233A52"/>
          </w:tcPr>
          <w:p>
            <w:r>
              <w:rPr>
                <w:b/>
                <w:color w:val="FFFFFF"/>
                <w:sz w:val="16"/>
              </w:rPr>
              <w:t>Attribute</w:t>
            </w:r>
          </w:p>
        </w:tc>
        <w:tc>
          <w:tcPr>
            <w:tcW w:type="dxa" w:w="3312"/>
            <w:shd w:fill="233A52"/>
          </w:tcPr>
          <w:p>
            <w:r>
              <w:rPr>
                <w:b/>
                <w:color w:val="FFFFFF"/>
                <w:sz w:val="16"/>
              </w:rPr>
              <w:t>Requirement / Validation</w:t>
            </w:r>
          </w:p>
        </w:tc>
      </w:tr>
      <w:tr>
        <w:tc>
          <w:tcPr>
            <w:tcW w:type="dxa" w:w="3312"/>
            <w:vAlign w:val="center"/>
            <w:shd w:fill="F2F5F8"/>
          </w:tcPr>
          <w:p>
            <w:pPr>
              <w:spacing w:after="20"/>
            </w:pPr>
            <w:r>
              <w:rPr>
                <w:sz w:val="16"/>
              </w:rPr>
              <w:t>NFR-QUAL-001</w:t>
            </w:r>
          </w:p>
        </w:tc>
        <w:tc>
          <w:tcPr>
            <w:tcW w:type="dxa" w:w="3312"/>
            <w:vAlign w:val="center"/>
            <w:shd w:fill="F2F5F8"/>
          </w:tcPr>
          <w:p>
            <w:pPr>
              <w:spacing w:after="20"/>
            </w:pPr>
            <w:r>
              <w:rPr>
                <w:sz w:val="16"/>
              </w:rPr>
              <w:t>Usability</w:t>
            </w:r>
          </w:p>
        </w:tc>
        <w:tc>
          <w:tcPr>
            <w:tcW w:type="dxa" w:w="3312"/>
            <w:vAlign w:val="center"/>
            <w:shd w:fill="F2F5F8"/>
          </w:tcPr>
          <w:p>
            <w:pPr>
              <w:spacing w:after="20"/>
            </w:pPr>
            <w:r>
              <w:rPr>
                <w:sz w:val="16"/>
              </w:rPr>
              <w:t>Label required fields and show actionable validation; test with representative users.</w:t>
            </w:r>
          </w:p>
        </w:tc>
      </w:tr>
      <w:tr>
        <w:tc>
          <w:tcPr>
            <w:tcW w:type="dxa" w:w="3312"/>
            <w:vAlign w:val="center"/>
          </w:tcPr>
          <w:p>
            <w:pPr>
              <w:spacing w:after="20"/>
            </w:pPr>
            <w:r>
              <w:rPr>
                <w:sz w:val="16"/>
              </w:rPr>
              <w:t>NFR-QUAL-002</w:t>
            </w:r>
          </w:p>
        </w:tc>
        <w:tc>
          <w:tcPr>
            <w:tcW w:type="dxa" w:w="3312"/>
            <w:vAlign w:val="center"/>
          </w:tcPr>
          <w:p>
            <w:pPr>
              <w:spacing w:after="20"/>
            </w:pPr>
            <w:r>
              <w:rPr>
                <w:sz w:val="16"/>
              </w:rPr>
              <w:t>Correctness</w:t>
            </w:r>
          </w:p>
        </w:tc>
        <w:tc>
          <w:tcPr>
            <w:tcW w:type="dxa" w:w="3312"/>
            <w:vAlign w:val="center"/>
          </w:tcPr>
          <w:p>
            <w:pPr>
              <w:spacing w:after="20"/>
            </w:pPr>
            <w:r>
              <w:rPr>
                <w:sz w:val="16"/>
              </w:rPr>
              <w:t>Profitability results match client-approved examples and reconciliations.</w:t>
            </w:r>
          </w:p>
        </w:tc>
      </w:tr>
      <w:tr>
        <w:tc>
          <w:tcPr>
            <w:tcW w:type="dxa" w:w="3312"/>
            <w:vAlign w:val="center"/>
            <w:shd w:fill="F2F5F8"/>
          </w:tcPr>
          <w:p>
            <w:pPr>
              <w:spacing w:after="20"/>
            </w:pPr>
            <w:r>
              <w:rPr>
                <w:sz w:val="16"/>
              </w:rPr>
              <w:t>NFR-QUAL-003</w:t>
            </w:r>
          </w:p>
        </w:tc>
        <w:tc>
          <w:tcPr>
            <w:tcW w:type="dxa" w:w="3312"/>
            <w:vAlign w:val="center"/>
            <w:shd w:fill="F2F5F8"/>
          </w:tcPr>
          <w:p>
            <w:pPr>
              <w:spacing w:after="20"/>
            </w:pPr>
            <w:r>
              <w:rPr>
                <w:sz w:val="16"/>
              </w:rPr>
              <w:t>Reliability</w:t>
            </w:r>
          </w:p>
        </w:tc>
        <w:tc>
          <w:tcPr>
            <w:tcW w:type="dxa" w:w="3312"/>
            <w:vAlign w:val="center"/>
            <w:shd w:fill="F2F5F8"/>
          </w:tcPr>
          <w:p>
            <w:pPr>
              <w:spacing w:after="20"/>
            </w:pPr>
            <w:r>
              <w:rPr>
                <w:sz w:val="16"/>
              </w:rPr>
              <w:t>Failed database operations/uploads show clear errors and are not reported as saved.</w:t>
            </w:r>
          </w:p>
        </w:tc>
      </w:tr>
      <w:tr>
        <w:tc>
          <w:tcPr>
            <w:tcW w:type="dxa" w:w="3312"/>
            <w:vAlign w:val="center"/>
          </w:tcPr>
          <w:p>
            <w:pPr>
              <w:spacing w:after="20"/>
            </w:pPr>
            <w:r>
              <w:rPr>
                <w:sz w:val="16"/>
              </w:rPr>
              <w:t>NFR-QUAL-004</w:t>
            </w:r>
          </w:p>
        </w:tc>
        <w:tc>
          <w:tcPr>
            <w:tcW w:type="dxa" w:w="3312"/>
            <w:vAlign w:val="center"/>
          </w:tcPr>
          <w:p>
            <w:pPr>
              <w:spacing w:after="20"/>
            </w:pPr>
            <w:r>
              <w:rPr>
                <w:sz w:val="16"/>
              </w:rPr>
              <w:t>Maintainability</w:t>
            </w:r>
          </w:p>
        </w:tc>
        <w:tc>
          <w:tcPr>
            <w:tcW w:type="dxa" w:w="3312"/>
            <w:vAlign w:val="center"/>
          </w:tcPr>
          <w:p>
            <w:pPr>
              <w:spacing w:after="20"/>
            </w:pPr>
            <w:r>
              <w:rPr>
                <w:sz w:val="16"/>
              </w:rPr>
              <w:t>Use consistent structure, TypeScript types, and documented configuration.</w:t>
            </w:r>
          </w:p>
        </w:tc>
      </w:tr>
      <w:tr>
        <w:tc>
          <w:tcPr>
            <w:tcW w:type="dxa" w:w="3312"/>
            <w:vAlign w:val="center"/>
            <w:shd w:fill="F2F5F8"/>
          </w:tcPr>
          <w:p>
            <w:pPr>
              <w:spacing w:after="20"/>
            </w:pPr>
            <w:r>
              <w:rPr>
                <w:sz w:val="16"/>
              </w:rPr>
              <w:t>NFR-QUAL-005</w:t>
            </w:r>
          </w:p>
        </w:tc>
        <w:tc>
          <w:tcPr>
            <w:tcW w:type="dxa" w:w="3312"/>
            <w:vAlign w:val="center"/>
            <w:shd w:fill="F2F5F8"/>
          </w:tcPr>
          <w:p>
            <w:pPr>
              <w:spacing w:after="20"/>
            </w:pPr>
            <w:r>
              <w:rPr>
                <w:sz w:val="16"/>
              </w:rPr>
              <w:t>Traceability</w:t>
            </w:r>
          </w:p>
        </w:tc>
        <w:tc>
          <w:tcPr>
            <w:tcW w:type="dxa" w:w="3312"/>
            <w:vAlign w:val="center"/>
            <w:shd w:fill="F2F5F8"/>
          </w:tcPr>
          <w:p>
            <w:pPr>
              <w:spacing w:after="20"/>
            </w:pPr>
            <w:r>
              <w:rPr>
                <w:sz w:val="16"/>
              </w:rPr>
              <w:t>Each approved requirement maps to at least one test or acceptance check.</w:t>
            </w:r>
          </w:p>
        </w:tc>
      </w:tr>
      <w:tr>
        <w:tc>
          <w:tcPr>
            <w:tcW w:type="dxa" w:w="3312"/>
            <w:vAlign w:val="center"/>
          </w:tcPr>
          <w:p>
            <w:pPr>
              <w:spacing w:after="20"/>
            </w:pPr>
            <w:r>
              <w:rPr>
                <w:sz w:val="16"/>
              </w:rPr>
              <w:t>NFR-QUAL-006</w:t>
            </w:r>
          </w:p>
        </w:tc>
        <w:tc>
          <w:tcPr>
            <w:tcW w:type="dxa" w:w="3312"/>
            <w:vAlign w:val="center"/>
          </w:tcPr>
          <w:p>
            <w:pPr>
              <w:spacing w:after="20"/>
            </w:pPr>
            <w:r>
              <w:rPr>
                <w:sz w:val="16"/>
              </w:rPr>
              <w:t>Accessibility</w:t>
            </w:r>
          </w:p>
        </w:tc>
        <w:tc>
          <w:tcPr>
            <w:tcW w:type="dxa" w:w="3312"/>
            <w:vAlign w:val="center"/>
          </w:tcPr>
          <w:p>
            <w:pPr>
              <w:spacing w:after="20"/>
            </w:pPr>
            <w:r>
              <w:rPr>
                <w:sz w:val="16"/>
              </w:rPr>
              <w:t>Core navigation/forms should be keyboard-operable with visible focus; exact target TBD.</w:t>
            </w:r>
          </w:p>
        </w:tc>
      </w:tr>
    </w:tbl>
    <w:p/>
    <w:p>
      <w:pPr>
        <w:pStyle w:val="Heading2"/>
      </w:pPr>
      <w:r>
        <w:t>5.5 Business Rules</w:t>
      </w:r>
    </w:p>
    <w:p>
      <w:pPr>
        <w:pStyle w:val="ListBullet"/>
      </w:pPr>
      <w:r>
        <w:t>BR-001: Delivery records support post-delivery recordkeeping and analysis, not live GPS or dispatch.</w:t>
      </w:r>
    </w:p>
    <w:p>
      <w:pPr>
        <w:pStyle w:val="ListBullet"/>
      </w:pPr>
      <w:r>
        <w:t>BR-002: Delivery profit is revenue minus the client-approved set of delivery-associated costs.</w:t>
      </w:r>
    </w:p>
    <w:p>
      <w:pPr>
        <w:pStyle w:val="ListBullet"/>
      </w:pPr>
      <w:r>
        <w:t>BR-003: Company-level profitability includes each applicable economic expense once, even if visible in multiple reports.</w:t>
      </w:r>
    </w:p>
    <w:p>
      <w:pPr>
        <w:pStyle w:val="ListBullet"/>
      </w:pPr>
      <w:r>
        <w:t>BR-004: Each expense must be consistently classified as delivery-associated or company-level; overhead allocation requires approval.</w:t>
      </w:r>
    </w:p>
    <w:p>
      <w:pPr>
        <w:pStyle w:val="ListBullet"/>
      </w:pPr>
      <w:r>
        <w:t>BR-005: HR compensation summaries must not duplicate compensation already represented in delivery costs.</w:t>
      </w:r>
    </w:p>
    <w:p>
      <w:pPr>
        <w:pStyle w:val="ListBullet"/>
      </w:pPr>
      <w:r>
        <w:t>BR-006: Client described an additional fee of ₱500/hour after 3 hours. Trigger, start/end, partial-hour rounding, and whether it is revenue or cost are TBD.</w:t>
      </w:r>
    </w:p>
    <w:p>
      <w:pPr>
        <w:pStyle w:val="ListBullet"/>
      </w:pPr>
      <w:r>
        <w:t>BR-007: Client mentioned five included drops and a fee per additional drop. Definition and calculation are TBD.</w:t>
      </w:r>
    </w:p>
    <w:p>
      <w:pPr>
        <w:pStyle w:val="ListBullet"/>
      </w:pPr>
      <w:r>
        <w:t>BR-008: Driver/helper daily rates, minimum allowance, allowance split, cutoff, and pay date are examples, not approved universal rules. Final HR rules are TBD.</w:t>
      </w:r>
    </w:p>
    <w:p>
      <w:pPr>
        <w:pStyle w:val="ListBullet"/>
      </w:pPr>
      <w:r>
        <w:t>BR-009: Historical margin examples vary around 20% and 30%; no target margin becomes a system rule without written confirmation.</w:t>
      </w:r>
    </w:p>
    <w:p>
      <w:pPr>
        <w:pStyle w:val="ListBullet"/>
      </w:pPr>
      <w:r>
        <w:t>BR-010: Role permissions determine who can view, create, update, export, and administer records. Admin status alone does not grant financial-edit rights.</w:t>
      </w:r>
    </w:p>
    <w:p>
      <w:pPr>
        <w:pStyle w:val="Heading1"/>
      </w:pPr>
      <w:r>
        <w:t>6. Other Requirements</w:t>
      </w:r>
    </w:p>
    <w:p>
      <w:pPr>
        <w:pStyle w:val="ListBullet"/>
      </w:pPr>
      <w:r>
        <w:t>Maintain relational links between deliveries, trucks, drivers/helpers, revenue/expense records, POD files, users, and audit events as finalized in the approved data model.</w:t>
      </w:r>
    </w:p>
    <w:p>
      <w:pPr>
        <w:pStyle w:val="ListBullet"/>
      </w:pPr>
      <w:r>
        <w:t>Identifiers shall be unique within their defined scope.</w:t>
      </w:r>
    </w:p>
    <w:p>
      <w:pPr>
        <w:pStyle w:val="ListBullet"/>
      </w:pPr>
      <w:r>
        <w:t>Support data export/turnover in a client-agreed format; exact fields and delivery method are TBD.</w:t>
      </w:r>
    </w:p>
    <w:p>
      <w:pPr>
        <w:pStyle w:val="ListBullet"/>
      </w:pPr>
      <w:r>
        <w:t>Retention duration, backup frequency, restoration objectives, and post-agreement data handling must be confirmed.</w:t>
      </w:r>
    </w:p>
    <w:p>
      <w:pPr>
        <w:pStyle w:val="ListBullet"/>
      </w:pPr>
      <w:r>
        <w:t>Hosting account owner, recurring-cost payer, production owner, and incident/contact process must be agreed before deployment.</w:t>
      </w:r>
    </w:p>
    <w:p>
      <w:pPr>
        <w:pStyle w:val="ListBullet"/>
      </w:pPr>
      <w:r>
        <w:t>Requirements beyond approved scope must follow the formal change-approval process in the governing agreement.</w:t>
      </w:r>
    </w:p>
    <w:p>
      <w:pPr>
        <w:pStyle w:val="Heading1"/>
      </w:pPr>
      <w:r>
        <w:t>Appendix A: Glossary</w:t>
      </w:r>
    </w:p>
    <w:tbl>
      <w:tblPr>
        <w:tblStyle w:val="TableGrid"/>
        <w:tblW w:type="auto" w:w="0"/>
        <w:jc w:val="center"/>
        <w:tblLook w:firstColumn="1" w:firstRow="1" w:lastColumn="0" w:lastRow="0" w:noHBand="0" w:noVBand="1" w:val="04A0"/>
      </w:tblPr>
      <w:tblGrid>
        <w:gridCol w:w="4968"/>
        <w:gridCol w:w="4968"/>
      </w:tblGrid>
      <w:tr>
        <w:tc>
          <w:tcPr>
            <w:tcW w:type="dxa" w:w="4968"/>
            <w:shd w:fill="233A52"/>
          </w:tcPr>
          <w:p>
            <w:r>
              <w:rPr>
                <w:b/>
                <w:color w:val="FFFFFF"/>
                <w:sz w:val="16"/>
              </w:rPr>
              <w:t>Term</w:t>
            </w:r>
          </w:p>
        </w:tc>
        <w:tc>
          <w:tcPr>
            <w:tcW w:type="dxa" w:w="4968"/>
            <w:shd w:fill="233A52"/>
          </w:tcPr>
          <w:p>
            <w:r>
              <w:rPr>
                <w:b/>
                <w:color w:val="FFFFFF"/>
                <w:sz w:val="16"/>
              </w:rPr>
              <w:t>Definition</w:t>
            </w:r>
          </w:p>
        </w:tc>
      </w:tr>
      <w:tr>
        <w:tc>
          <w:tcPr>
            <w:tcW w:type="dxa" w:w="4968"/>
            <w:vAlign w:val="center"/>
            <w:shd w:fill="F2F5F8"/>
          </w:tcPr>
          <w:p>
            <w:pPr>
              <w:spacing w:after="20"/>
            </w:pPr>
            <w:r>
              <w:rPr>
                <w:sz w:val="16"/>
              </w:rPr>
              <w:t>Delivery</w:t>
            </w:r>
          </w:p>
        </w:tc>
        <w:tc>
          <w:tcPr>
            <w:tcW w:type="dxa" w:w="4968"/>
            <w:vAlign w:val="center"/>
            <w:shd w:fill="F2F5F8"/>
          </w:tcPr>
          <w:p>
            <w:pPr>
              <w:spacing w:after="20"/>
            </w:pPr>
            <w:r>
              <w:rPr>
                <w:sz w:val="16"/>
              </w:rPr>
              <w:t>A recorded completed delivery transaction handled by the company or an assigned subcontracted unit.</w:t>
            </w:r>
          </w:p>
        </w:tc>
      </w:tr>
      <w:tr>
        <w:tc>
          <w:tcPr>
            <w:tcW w:type="dxa" w:w="4968"/>
            <w:vAlign w:val="center"/>
          </w:tcPr>
          <w:p>
            <w:pPr>
              <w:spacing w:after="20"/>
            </w:pPr>
            <w:r>
              <w:rPr>
                <w:sz w:val="16"/>
              </w:rPr>
              <w:t>POD</w:t>
            </w:r>
          </w:p>
        </w:tc>
        <w:tc>
          <w:tcPr>
            <w:tcW w:type="dxa" w:w="4968"/>
            <w:vAlign w:val="center"/>
          </w:tcPr>
          <w:p>
            <w:pPr>
              <w:spacing w:after="20"/>
            </w:pPr>
            <w:r>
              <w:rPr>
                <w:sz w:val="16"/>
              </w:rPr>
              <w:t>Proof of Delivery document linked to a delivery record.</w:t>
            </w:r>
          </w:p>
        </w:tc>
      </w:tr>
      <w:tr>
        <w:tc>
          <w:tcPr>
            <w:tcW w:type="dxa" w:w="4968"/>
            <w:vAlign w:val="center"/>
            <w:shd w:fill="F2F5F8"/>
          </w:tcPr>
          <w:p>
            <w:pPr>
              <w:spacing w:after="20"/>
            </w:pPr>
            <w:r>
              <w:rPr>
                <w:sz w:val="16"/>
              </w:rPr>
              <w:t>Delivery-level profitability</w:t>
            </w:r>
          </w:p>
        </w:tc>
        <w:tc>
          <w:tcPr>
            <w:tcW w:type="dxa" w:w="4968"/>
            <w:vAlign w:val="center"/>
            <w:shd w:fill="F2F5F8"/>
          </w:tcPr>
          <w:p>
            <w:pPr>
              <w:spacing w:after="20"/>
            </w:pPr>
            <w:r>
              <w:rPr>
                <w:sz w:val="16"/>
              </w:rPr>
              <w:t>Financial result for an individual delivery using approved revenue/cost rules.</w:t>
            </w:r>
          </w:p>
        </w:tc>
      </w:tr>
      <w:tr>
        <w:tc>
          <w:tcPr>
            <w:tcW w:type="dxa" w:w="4968"/>
            <w:vAlign w:val="center"/>
          </w:tcPr>
          <w:p>
            <w:pPr>
              <w:spacing w:after="20"/>
            </w:pPr>
            <w:r>
              <w:rPr>
                <w:sz w:val="16"/>
              </w:rPr>
              <w:t>Truck-level profitability</w:t>
            </w:r>
          </w:p>
        </w:tc>
        <w:tc>
          <w:tcPr>
            <w:tcW w:type="dxa" w:w="4968"/>
            <w:vAlign w:val="center"/>
          </w:tcPr>
          <w:p>
            <w:pPr>
              <w:spacing w:after="20"/>
            </w:pPr>
            <w:r>
              <w:rPr>
                <w:sz w:val="16"/>
              </w:rPr>
              <w:t>Financial result associated with a selected truck and period under approved inclusion rules.</w:t>
            </w:r>
          </w:p>
        </w:tc>
      </w:tr>
      <w:tr>
        <w:tc>
          <w:tcPr>
            <w:tcW w:type="dxa" w:w="4968"/>
            <w:vAlign w:val="center"/>
            <w:shd w:fill="F2F5F8"/>
          </w:tcPr>
          <w:p>
            <w:pPr>
              <w:spacing w:after="20"/>
            </w:pPr>
            <w:r>
              <w:rPr>
                <w:sz w:val="16"/>
              </w:rPr>
              <w:t>Company-level profitability</w:t>
            </w:r>
          </w:p>
        </w:tc>
        <w:tc>
          <w:tcPr>
            <w:tcW w:type="dxa" w:w="4968"/>
            <w:vAlign w:val="center"/>
            <w:shd w:fill="F2F5F8"/>
          </w:tcPr>
          <w:p>
            <w:pPr>
              <w:spacing w:after="20"/>
            </w:pPr>
            <w:r>
              <w:rPr>
                <w:sz w:val="16"/>
              </w:rPr>
              <w:t>Company-wide result for a period, with applicable revenue and expenses counted once.</w:t>
            </w:r>
          </w:p>
        </w:tc>
      </w:tr>
      <w:tr>
        <w:tc>
          <w:tcPr>
            <w:tcW w:type="dxa" w:w="4968"/>
            <w:vAlign w:val="center"/>
          </w:tcPr>
          <w:p>
            <w:pPr>
              <w:spacing w:after="20"/>
            </w:pPr>
            <w:r>
              <w:rPr>
                <w:sz w:val="16"/>
              </w:rPr>
              <w:t>RBAC</w:t>
            </w:r>
          </w:p>
        </w:tc>
        <w:tc>
          <w:tcPr>
            <w:tcW w:type="dxa" w:w="4968"/>
            <w:vAlign w:val="center"/>
          </w:tcPr>
          <w:p>
            <w:pPr>
              <w:spacing w:after="20"/>
            </w:pPr>
            <w:r>
              <w:rPr>
                <w:sz w:val="16"/>
              </w:rPr>
              <w:t>Role-Based Access Control.</w:t>
            </w:r>
          </w:p>
        </w:tc>
      </w:tr>
      <w:tr>
        <w:tc>
          <w:tcPr>
            <w:tcW w:type="dxa" w:w="4968"/>
            <w:vAlign w:val="center"/>
            <w:shd w:fill="F2F5F8"/>
          </w:tcPr>
          <w:p>
            <w:pPr>
              <w:spacing w:after="20"/>
            </w:pPr>
            <w:r>
              <w:rPr>
                <w:sz w:val="16"/>
              </w:rPr>
              <w:t>TBD</w:t>
            </w:r>
          </w:p>
        </w:tc>
        <w:tc>
          <w:tcPr>
            <w:tcW w:type="dxa" w:w="4968"/>
            <w:vAlign w:val="center"/>
            <w:shd w:fill="F2F5F8"/>
          </w:tcPr>
          <w:p>
            <w:pPr>
              <w:spacing w:after="20"/>
            </w:pPr>
            <w:r>
              <w:rPr>
                <w:sz w:val="16"/>
              </w:rPr>
              <w:t>To be determined.</w:t>
            </w:r>
          </w:p>
        </w:tc>
      </w:tr>
      <w:tr>
        <w:tc>
          <w:tcPr>
            <w:tcW w:type="dxa" w:w="4968"/>
            <w:vAlign w:val="center"/>
          </w:tcPr>
          <w:p>
            <w:pPr>
              <w:spacing w:after="20"/>
            </w:pPr>
            <w:r>
              <w:rPr>
                <w:sz w:val="16"/>
              </w:rPr>
              <w:t>Margin percentage</w:t>
            </w:r>
          </w:p>
        </w:tc>
        <w:tc>
          <w:tcPr>
            <w:tcW w:type="dxa" w:w="4968"/>
            <w:vAlign w:val="center"/>
          </w:tcPr>
          <w:p>
            <w:pPr>
              <w:spacing w:after="20"/>
            </w:pPr>
            <w:r>
              <w:rPr>
                <w:sz w:val="16"/>
              </w:rPr>
              <w:t>Profitability percentage using a client-approved formula and denominator; exact formula TBD.</w:t>
            </w:r>
          </w:p>
        </w:tc>
      </w:tr>
    </w:tbl>
    <w:p/>
    <w:p>
      <w:pPr>
        <w:pStyle w:val="Heading1"/>
      </w:pPr>
      <w:r>
        <w:t>Appendix B: Analysis Models</w:t>
      </w:r>
    </w:p>
    <w:p>
      <w:pPr>
        <w:pStyle w:val="Heading2"/>
      </w:pPr>
      <w:r>
        <w:t>B.1 Use Case Diagram (Mermaid source)</w:t>
      </w:r>
    </w:p>
    <w:p>
      <w:r>
        <w:t>Render this source as a formal diagram for the final submission:</w:t>
      </w:r>
    </w:p>
    <w:p>
      <w:r>
        <w:t>flowchart LR</w:t>
        <w:br/>
        <w:t xml:space="preserve">  Ops[Operations] --&gt; D[Manage completed deliveries]</w:t>
        <w:br/>
        <w:t xml:space="preserve">  Ops --&gt; P[Upload/retrieve POD]</w:t>
        <w:br/>
        <w:t xml:space="preserve">  Ops --&gt; F[Assign truck and crew]</w:t>
        <w:br/>
        <w:t xml:space="preserve">  Fin[Finance] --&gt; E[Manage company expenses]</w:t>
        <w:br/>
        <w:t xml:space="preserve">  HR[HR] --&gt; H[Manage compensation summaries]</w:t>
        <w:br/>
        <w:t xml:space="preserve">  Mgmt[President/Management] --&gt; S[Search records]</w:t>
        <w:br/>
        <w:t xml:space="preserve">  Mgmt --&gt; R[Review profitability and reports]</w:t>
        <w:br/>
        <w:t xml:space="preserve">  Admin[Administrator] --&gt; U[Manage users and roles]</w:t>
        <w:br/>
        <w:t xml:space="preserve">  Admin --&gt; A[Review audit logs]</w:t>
        <w:br/>
        <w:t xml:space="preserve">  D --&gt; DB[(RouteX database)]</w:t>
        <w:br/>
        <w:t xml:space="preserve">  E --&gt; DB</w:t>
        <w:br/>
        <w:t xml:space="preserve">  H --&gt; DB</w:t>
        <w:br/>
        <w:t xml:space="preserve">  P --&gt; FS[(Private file storage)]</w:t>
        <w:br/>
        <w:t xml:space="preserve">  R --&gt; DB</w:t>
      </w:r>
    </w:p>
    <w:p>
      <w:pPr>
        <w:pStyle w:val="Heading2"/>
      </w:pPr>
      <w:r>
        <w:t>B.2 Proposed ERD (Mermaid source)</w:t>
      </w:r>
    </w:p>
    <w:p>
      <w:r>
        <w:t>Conceptual only, not the final database schema. Confirm fields, optionality, and relationships during design.</w:t>
      </w:r>
    </w:p>
    <w:p>
      <w:r>
        <w:t>erDiagram</w:t>
        <w:br/>
        <w:t xml:space="preserve">  USER ||--o{ AUDIT_LOG : creates</w:t>
        <w:br/>
        <w:t xml:space="preserve">  TRUCK ||--o{ DELIVERY : assigned_to</w:t>
        <w:br/>
        <w:t xml:space="preserve">  DRIVER ||--o{ DELIVERY : drives</w:t>
        <w:br/>
        <w:t xml:space="preserve">  DELIVERY ||--o{ DELIVERY_CREW : has</w:t>
        <w:br/>
        <w:t xml:space="preserve">  EMPLOYEE ||--o{ DELIVERY_CREW : assigned</w:t>
        <w:br/>
        <w:t xml:space="preserve">  CLIENT ||--o{ DELIVERY : requests</w:t>
        <w:br/>
        <w:t xml:space="preserve">  DELIVERY ||--o{ DELIVERY_EXPENSE : incurs</w:t>
        <w:br/>
        <w:t xml:space="preserve">  EXPENSE_CATEGORY ||--o{ DELIVERY_EXPENSE : classifies</w:t>
        <w:br/>
        <w:t xml:space="preserve">  EXPENSE_CATEGORY ||--o{ COMPANY_EXPENSE : classifies</w:t>
        <w:br/>
        <w:t xml:space="preserve">  DELIVERY ||--o{ POD_FILE : documents</w:t>
        <w:br/>
        <w:t xml:space="preserve">  USER ||--o{ DELIVERY : records</w:t>
        <w:br/>
        <w:t xml:space="preserve">  USER ||--o{ COMPANY_EXPENSE : records</w:t>
      </w:r>
    </w:p>
    <w:p>
      <w:pPr>
        <w:pStyle w:val="Heading2"/>
      </w:pPr>
      <w:r>
        <w:t>B.3 Activity / Process Model (Mermaid source)</w:t>
      </w:r>
    </w:p>
    <w:p>
      <w:r>
        <w:t>flowchart TD</w:t>
        <w:br/>
        <w:t xml:space="preserve">  A[Delivery completed] --&gt; B[Operations records delivery]</w:t>
        <w:br/>
        <w:t xml:space="preserve">  B --&gt; C[Assign truck and crew; enter revenue and delivery costs]</w:t>
        <w:br/>
        <w:t xml:space="preserve">  C --&gt; D[Attach POD if available]</w:t>
        <w:br/>
        <w:t xml:space="preserve">  D --&gt; E[Validate and save]</w:t>
        <w:br/>
        <w:t xml:space="preserve">  E --&gt; F[Finance records company expenses separately]</w:t>
        <w:br/>
        <w:t xml:space="preserve">  F --&gt; G[Apply approved classification rules]</w:t>
        <w:br/>
        <w:t xml:space="preserve">  G --&gt; H[Calculate delivery, truck, and company results]</w:t>
        <w:br/>
        <w:t xml:space="preserve">  H --&gt; I[Management searches, drills down, and exports]</w:t>
        <w:br/>
        <w:t xml:space="preserve">  E --&gt; J{Required data complete?}</w:t>
        <w:br/>
        <w:t xml:space="preserve">  J -- No --&gt; K[Show validation or missing-data cue]</w:t>
        <w:br/>
        <w:t xml:space="preserve">  K --&gt; B</w:t>
        <w:br/>
        <w:t xml:space="preserve">  J -- Yes --&gt; F</w:t>
      </w:r>
    </w:p>
    <w:p>
      <w:pPr>
        <w:pStyle w:val="Heading1"/>
      </w:pPr>
      <w:r>
        <w:t>Appendix C: To Be Determined List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33A52"/>
          </w:tcPr>
          <w:p>
            <w:r>
              <w:rPr>
                <w:b/>
                <w:color w:val="FFFFFF"/>
                <w:sz w:val="16"/>
              </w:rPr>
              <w:t>TBD ID</w:t>
            </w:r>
          </w:p>
        </w:tc>
        <w:tc>
          <w:tcPr>
            <w:tcW w:type="dxa" w:w="3312"/>
            <w:shd w:fill="233A52"/>
          </w:tcPr>
          <w:p>
            <w:r>
              <w:rPr>
                <w:b/>
                <w:color w:val="FFFFFF"/>
                <w:sz w:val="16"/>
              </w:rPr>
              <w:t>Open decision</w:t>
            </w:r>
          </w:p>
        </w:tc>
        <w:tc>
          <w:tcPr>
            <w:tcW w:type="dxa" w:w="3312"/>
            <w:shd w:fill="233A52"/>
          </w:tcPr>
          <w:p>
            <w:r>
              <w:rPr>
                <w:b/>
                <w:color w:val="FFFFFF"/>
                <w:sz w:val="16"/>
              </w:rPr>
              <w:t>Why it matters / next action</w:t>
            </w:r>
          </w:p>
        </w:tc>
      </w:tr>
      <w:tr>
        <w:tc>
          <w:tcPr>
            <w:tcW w:type="dxa" w:w="3312"/>
            <w:vAlign w:val="center"/>
            <w:shd w:fill="F2F5F8"/>
          </w:tcPr>
          <w:p>
            <w:pPr>
              <w:spacing w:after="20"/>
            </w:pPr>
            <w:r>
              <w:rPr>
                <w:sz w:val="16"/>
              </w:rPr>
              <w:t>TBD-01</w:t>
            </w:r>
          </w:p>
        </w:tc>
        <w:tc>
          <w:tcPr>
            <w:tcW w:type="dxa" w:w="3312"/>
            <w:vAlign w:val="center"/>
            <w:shd w:fill="F2F5F8"/>
          </w:tcPr>
          <w:p>
            <w:pPr>
              <w:spacing w:after="20"/>
            </w:pPr>
            <w:r>
              <w:rPr>
                <w:sz w:val="16"/>
              </w:rPr>
              <w:t>Approve delivery, truck, company profitability formulas and margin denominator.</w:t>
            </w:r>
          </w:p>
        </w:tc>
        <w:tc>
          <w:tcPr>
            <w:tcW w:type="dxa" w:w="3312"/>
            <w:vAlign w:val="center"/>
            <w:shd w:fill="F2F5F8"/>
          </w:tcPr>
          <w:p>
            <w:pPr>
              <w:spacing w:after="20"/>
            </w:pPr>
            <w:r>
              <w:rPr>
                <w:sz w:val="16"/>
              </w:rPr>
              <w:t>Finance/management must approve written examples.</w:t>
            </w:r>
          </w:p>
        </w:tc>
      </w:tr>
      <w:tr>
        <w:tc>
          <w:tcPr>
            <w:tcW w:type="dxa" w:w="3312"/>
            <w:vAlign w:val="center"/>
          </w:tcPr>
          <w:p>
            <w:pPr>
              <w:spacing w:after="20"/>
            </w:pPr>
            <w:r>
              <w:rPr>
                <w:sz w:val="16"/>
              </w:rPr>
              <w:t>TBD-02</w:t>
            </w:r>
          </w:p>
        </w:tc>
        <w:tc>
          <w:tcPr>
            <w:tcW w:type="dxa" w:w="3312"/>
            <w:vAlign w:val="center"/>
          </w:tcPr>
          <w:p>
            <w:pPr>
              <w:spacing w:after="20"/>
            </w:pPr>
            <w:r>
              <w:rPr>
                <w:sz w:val="16"/>
              </w:rPr>
              <w:t>Classify each expense as delivery cost, company expense, compensation summary, or other.</w:t>
            </w:r>
          </w:p>
        </w:tc>
        <w:tc>
          <w:tcPr>
            <w:tcW w:type="dxa" w:w="3312"/>
            <w:vAlign w:val="center"/>
          </w:tcPr>
          <w:p>
            <w:pPr>
              <w:spacing w:after="20"/>
            </w:pPr>
            <w:r>
              <w:rPr>
                <w:sz w:val="16"/>
              </w:rPr>
              <w:t>Finance/HR approve category matrix; prevents double counting.</w:t>
            </w:r>
          </w:p>
        </w:tc>
      </w:tr>
      <w:tr>
        <w:tc>
          <w:tcPr>
            <w:tcW w:type="dxa" w:w="3312"/>
            <w:vAlign w:val="center"/>
            <w:shd w:fill="F2F5F8"/>
          </w:tcPr>
          <w:p>
            <w:pPr>
              <w:spacing w:after="20"/>
            </w:pPr>
            <w:r>
              <w:rPr>
                <w:sz w:val="16"/>
              </w:rPr>
              <w:t>TBD-03</w:t>
            </w:r>
          </w:p>
        </w:tc>
        <w:tc>
          <w:tcPr>
            <w:tcW w:type="dxa" w:w="3312"/>
            <w:vAlign w:val="center"/>
            <w:shd w:fill="F2F5F8"/>
          </w:tcPr>
          <w:p>
            <w:pPr>
              <w:spacing w:after="20"/>
            </w:pPr>
            <w:r>
              <w:rPr>
                <w:sz w:val="16"/>
              </w:rPr>
              <w:t>Decide if/how overhead is allocated to trucks/deliveries.</w:t>
            </w:r>
          </w:p>
        </w:tc>
        <w:tc>
          <w:tcPr>
            <w:tcW w:type="dxa" w:w="3312"/>
            <w:vAlign w:val="center"/>
            <w:shd w:fill="F2F5F8"/>
          </w:tcPr>
          <w:p>
            <w:pPr>
              <w:spacing w:after="20"/>
            </w:pPr>
            <w:r>
              <w:rPr>
                <w:sz w:val="16"/>
              </w:rPr>
              <w:t>Client decision; do not assume allocation.</w:t>
            </w:r>
          </w:p>
        </w:tc>
      </w:tr>
      <w:tr>
        <w:tc>
          <w:tcPr>
            <w:tcW w:type="dxa" w:w="3312"/>
            <w:vAlign w:val="center"/>
          </w:tcPr>
          <w:p>
            <w:pPr>
              <w:spacing w:after="20"/>
            </w:pPr>
            <w:r>
              <w:rPr>
                <w:sz w:val="16"/>
              </w:rPr>
              <w:t>TBD-04</w:t>
            </w:r>
          </w:p>
        </w:tc>
        <w:tc>
          <w:tcPr>
            <w:tcW w:type="dxa" w:w="3312"/>
            <w:vAlign w:val="center"/>
          </w:tcPr>
          <w:p>
            <w:pPr>
              <w:spacing w:after="20"/>
            </w:pPr>
            <w:r>
              <w:rPr>
                <w:sz w:val="16"/>
              </w:rPr>
              <w:t>Define ₱500/hour fee trigger, timer start/end, rounding, and revenue/cost treatment.</w:t>
            </w:r>
          </w:p>
        </w:tc>
        <w:tc>
          <w:tcPr>
            <w:tcW w:type="dxa" w:w="3312"/>
            <w:vAlign w:val="center"/>
          </w:tcPr>
          <w:p>
            <w:pPr>
              <w:spacing w:after="20"/>
            </w:pPr>
            <w:r>
              <w:rPr>
                <w:sz w:val="16"/>
              </w:rPr>
              <w:t>Client supplies examples.</w:t>
            </w:r>
          </w:p>
        </w:tc>
      </w:tr>
      <w:tr>
        <w:tc>
          <w:tcPr>
            <w:tcW w:type="dxa" w:w="3312"/>
            <w:vAlign w:val="center"/>
            <w:shd w:fill="F2F5F8"/>
          </w:tcPr>
          <w:p>
            <w:pPr>
              <w:spacing w:after="20"/>
            </w:pPr>
            <w:r>
              <w:rPr>
                <w:sz w:val="16"/>
              </w:rPr>
              <w:t>TBD-05</w:t>
            </w:r>
          </w:p>
        </w:tc>
        <w:tc>
          <w:tcPr>
            <w:tcW w:type="dxa" w:w="3312"/>
            <w:vAlign w:val="center"/>
            <w:shd w:fill="F2F5F8"/>
          </w:tcPr>
          <w:p>
            <w:pPr>
              <w:spacing w:after="20"/>
            </w:pPr>
            <w:r>
              <w:rPr>
                <w:sz w:val="16"/>
              </w:rPr>
              <w:t>Define five included drops and additional-drop fee rule.</w:t>
            </w:r>
          </w:p>
        </w:tc>
        <w:tc>
          <w:tcPr>
            <w:tcW w:type="dxa" w:w="3312"/>
            <w:vAlign w:val="center"/>
            <w:shd w:fill="F2F5F8"/>
          </w:tcPr>
          <w:p>
            <w:pPr>
              <w:spacing w:after="20"/>
            </w:pPr>
            <w:r>
              <w:rPr>
                <w:sz w:val="16"/>
              </w:rPr>
              <w:t>Client supplies examples.</w:t>
            </w:r>
          </w:p>
        </w:tc>
      </w:tr>
      <w:tr>
        <w:tc>
          <w:tcPr>
            <w:tcW w:type="dxa" w:w="3312"/>
            <w:vAlign w:val="center"/>
          </w:tcPr>
          <w:p>
            <w:pPr>
              <w:spacing w:after="20"/>
            </w:pPr>
            <w:r>
              <w:rPr>
                <w:sz w:val="16"/>
              </w:rPr>
              <w:t>TBD-06</w:t>
            </w:r>
          </w:p>
        </w:tc>
        <w:tc>
          <w:tcPr>
            <w:tcW w:type="dxa" w:w="3312"/>
            <w:vAlign w:val="center"/>
          </w:tcPr>
          <w:p>
            <w:pPr>
              <w:spacing w:after="20"/>
            </w:pPr>
            <w:r>
              <w:rPr>
                <w:sz w:val="16"/>
              </w:rPr>
              <w:t>Approve driver/helper pay, allowance, advances, split, cutoff, and summary rules.</w:t>
            </w:r>
          </w:p>
        </w:tc>
        <w:tc>
          <w:tcPr>
            <w:tcW w:type="dxa" w:w="3312"/>
            <w:vAlign w:val="center"/>
          </w:tcPr>
          <w:p>
            <w:pPr>
              <w:spacing w:after="20"/>
            </w:pPr>
            <w:r>
              <w:rPr>
                <w:sz w:val="16"/>
              </w:rPr>
              <w:t>HR supplies approved policy.</w:t>
            </w:r>
          </w:p>
        </w:tc>
      </w:tr>
      <w:tr>
        <w:tc>
          <w:tcPr>
            <w:tcW w:type="dxa" w:w="3312"/>
            <w:vAlign w:val="center"/>
            <w:shd w:fill="F2F5F8"/>
          </w:tcPr>
          <w:p>
            <w:pPr>
              <w:spacing w:after="20"/>
            </w:pPr>
            <w:r>
              <w:rPr>
                <w:sz w:val="16"/>
              </w:rPr>
              <w:t>TBD-07</w:t>
            </w:r>
          </w:p>
        </w:tc>
        <w:tc>
          <w:tcPr>
            <w:tcW w:type="dxa" w:w="3312"/>
            <w:vAlign w:val="center"/>
            <w:shd w:fill="F2F5F8"/>
          </w:tcPr>
          <w:p>
            <w:pPr>
              <w:spacing w:after="20"/>
            </w:pPr>
            <w:r>
              <w:rPr>
                <w:sz w:val="16"/>
              </w:rPr>
              <w:t>Confirm truck types, owned/subcontracted records, helper-count rules.</w:t>
            </w:r>
          </w:p>
        </w:tc>
        <w:tc>
          <w:tcPr>
            <w:tcW w:type="dxa" w:w="3312"/>
            <w:vAlign w:val="center"/>
            <w:shd w:fill="F2F5F8"/>
          </w:tcPr>
          <w:p>
            <w:pPr>
              <w:spacing w:after="20"/>
            </w:pPr>
            <w:r>
              <w:rPr>
                <w:sz w:val="16"/>
              </w:rPr>
              <w:t>Operations confirms.</w:t>
            </w:r>
          </w:p>
        </w:tc>
      </w:tr>
      <w:tr>
        <w:tc>
          <w:tcPr>
            <w:tcW w:type="dxa" w:w="3312"/>
            <w:vAlign w:val="center"/>
          </w:tcPr>
          <w:p>
            <w:pPr>
              <w:spacing w:after="20"/>
            </w:pPr>
            <w:r>
              <w:rPr>
                <w:sz w:val="16"/>
              </w:rPr>
              <w:t>TBD-08</w:t>
            </w:r>
          </w:p>
        </w:tc>
        <w:tc>
          <w:tcPr>
            <w:tcW w:type="dxa" w:w="3312"/>
            <w:vAlign w:val="center"/>
          </w:tcPr>
          <w:p>
            <w:pPr>
              <w:spacing w:after="20"/>
            </w:pPr>
            <w:r>
              <w:rPr>
                <w:sz w:val="16"/>
              </w:rPr>
              <w:t>Confirm delivery statuses and mandatory timestamps.</w:t>
            </w:r>
          </w:p>
        </w:tc>
        <w:tc>
          <w:tcPr>
            <w:tcW w:type="dxa" w:w="3312"/>
            <w:vAlign w:val="center"/>
          </w:tcPr>
          <w:p>
            <w:pPr>
              <w:spacing w:after="20"/>
            </w:pPr>
            <w:r>
              <w:rPr>
                <w:sz w:val="16"/>
              </w:rPr>
              <w:t>Operations confirms.</w:t>
            </w:r>
          </w:p>
        </w:tc>
      </w:tr>
      <w:tr>
        <w:tc>
          <w:tcPr>
            <w:tcW w:type="dxa" w:w="3312"/>
            <w:vAlign w:val="center"/>
            <w:shd w:fill="F2F5F8"/>
          </w:tcPr>
          <w:p>
            <w:pPr>
              <w:spacing w:after="20"/>
            </w:pPr>
            <w:r>
              <w:rPr>
                <w:sz w:val="16"/>
              </w:rPr>
              <w:t>TBD-09</w:t>
            </w:r>
          </w:p>
        </w:tc>
        <w:tc>
          <w:tcPr>
            <w:tcW w:type="dxa" w:w="3312"/>
            <w:vAlign w:val="center"/>
            <w:shd w:fill="F2F5F8"/>
          </w:tcPr>
          <w:p>
            <w:pPr>
              <w:spacing w:after="20"/>
            </w:pPr>
            <w:r>
              <w:rPr>
                <w:sz w:val="16"/>
              </w:rPr>
              <w:t>Approve view/create/update/export permissions per role and module.</w:t>
            </w:r>
          </w:p>
        </w:tc>
        <w:tc>
          <w:tcPr>
            <w:tcW w:type="dxa" w:w="3312"/>
            <w:vAlign w:val="center"/>
            <w:shd w:fill="F2F5F8"/>
          </w:tcPr>
          <w:p>
            <w:pPr>
              <w:spacing w:after="20"/>
            </w:pPr>
            <w:r>
              <w:rPr>
                <w:sz w:val="16"/>
              </w:rPr>
              <w:t>Management approves permission matrix.</w:t>
            </w:r>
          </w:p>
        </w:tc>
      </w:tr>
      <w:tr>
        <w:tc>
          <w:tcPr>
            <w:tcW w:type="dxa" w:w="3312"/>
            <w:vAlign w:val="center"/>
          </w:tcPr>
          <w:p>
            <w:pPr>
              <w:spacing w:after="20"/>
            </w:pPr>
            <w:r>
              <w:rPr>
                <w:sz w:val="16"/>
              </w:rPr>
              <w:t>TBD-10</w:t>
            </w:r>
          </w:p>
        </w:tc>
        <w:tc>
          <w:tcPr>
            <w:tcW w:type="dxa" w:w="3312"/>
            <w:vAlign w:val="center"/>
          </w:tcPr>
          <w:p>
            <w:pPr>
              <w:spacing w:after="20"/>
            </w:pPr>
            <w:r>
              <w:rPr>
                <w:sz w:val="16"/>
              </w:rPr>
              <w:t>Confirm POD formats, maximum size, retention, access, and missing-POD cue.</w:t>
            </w:r>
          </w:p>
        </w:tc>
        <w:tc>
          <w:tcPr>
            <w:tcW w:type="dxa" w:w="3312"/>
            <w:vAlign w:val="center"/>
          </w:tcPr>
          <w:p>
            <w:pPr>
              <w:spacing w:after="20"/>
            </w:pPr>
            <w:r>
              <w:rPr>
                <w:sz w:val="16"/>
              </w:rPr>
              <w:t>Client approves.</w:t>
            </w:r>
          </w:p>
        </w:tc>
      </w:tr>
      <w:tr>
        <w:tc>
          <w:tcPr>
            <w:tcW w:type="dxa" w:w="3312"/>
            <w:vAlign w:val="center"/>
            <w:shd w:fill="F2F5F8"/>
          </w:tcPr>
          <w:p>
            <w:pPr>
              <w:spacing w:after="20"/>
            </w:pPr>
            <w:r>
              <w:rPr>
                <w:sz w:val="16"/>
              </w:rPr>
              <w:t>TBD-11</w:t>
            </w:r>
          </w:p>
        </w:tc>
        <w:tc>
          <w:tcPr>
            <w:tcW w:type="dxa" w:w="3312"/>
            <w:vAlign w:val="center"/>
            <w:shd w:fill="F2F5F8"/>
          </w:tcPr>
          <w:p>
            <w:pPr>
              <w:spacing w:after="20"/>
            </w:pPr>
            <w:r>
              <w:rPr>
                <w:sz w:val="16"/>
              </w:rPr>
              <w:t>Confirm retention, backup schedule, restoration expectations, export format.</w:t>
            </w:r>
          </w:p>
        </w:tc>
        <w:tc>
          <w:tcPr>
            <w:tcW w:type="dxa" w:w="3312"/>
            <w:vAlign w:val="center"/>
            <w:shd w:fill="F2F5F8"/>
          </w:tcPr>
          <w:p>
            <w:pPr>
              <w:spacing w:after="20"/>
            </w:pPr>
            <w:r>
              <w:rPr>
                <w:sz w:val="16"/>
              </w:rPr>
              <w:t>Client/provider agree.</w:t>
            </w:r>
          </w:p>
        </w:tc>
      </w:tr>
      <w:tr>
        <w:tc>
          <w:tcPr>
            <w:tcW w:type="dxa" w:w="3312"/>
            <w:vAlign w:val="center"/>
          </w:tcPr>
          <w:p>
            <w:pPr>
              <w:spacing w:after="20"/>
            </w:pPr>
            <w:r>
              <w:rPr>
                <w:sz w:val="16"/>
              </w:rPr>
              <w:t>TBD-12</w:t>
            </w:r>
          </w:p>
        </w:tc>
        <w:tc>
          <w:tcPr>
            <w:tcW w:type="dxa" w:w="3312"/>
            <w:vAlign w:val="center"/>
          </w:tcPr>
          <w:p>
            <w:pPr>
              <w:spacing w:after="20"/>
            </w:pPr>
            <w:r>
              <w:rPr>
                <w:sz w:val="16"/>
              </w:rPr>
              <w:t>Confirm hosting owner, production plan, recurring-cost payer, and operational owner.</w:t>
            </w:r>
          </w:p>
        </w:tc>
        <w:tc>
          <w:tcPr>
            <w:tcW w:type="dxa" w:w="3312"/>
            <w:vAlign w:val="center"/>
          </w:tcPr>
          <w:p>
            <w:pPr>
              <w:spacing w:after="20"/>
            </w:pPr>
            <w:r>
              <w:rPr>
                <w:sz w:val="16"/>
              </w:rPr>
              <w:t>Client/team agree.</w:t>
            </w:r>
          </w:p>
        </w:tc>
      </w:tr>
      <w:tr>
        <w:tc>
          <w:tcPr>
            <w:tcW w:type="dxa" w:w="3312"/>
            <w:vAlign w:val="center"/>
            <w:shd w:fill="F2F5F8"/>
          </w:tcPr>
          <w:p>
            <w:pPr>
              <w:spacing w:after="20"/>
            </w:pPr>
            <w:r>
              <w:rPr>
                <w:sz w:val="16"/>
              </w:rPr>
              <w:t>TBD-13</w:t>
            </w:r>
          </w:p>
        </w:tc>
        <w:tc>
          <w:tcPr>
            <w:tcW w:type="dxa" w:w="3312"/>
            <w:vAlign w:val="center"/>
            <w:shd w:fill="F2F5F8"/>
          </w:tcPr>
          <w:p>
            <w:pPr>
              <w:spacing w:after="20"/>
            </w:pPr>
            <w:r>
              <w:rPr>
                <w:sz w:val="16"/>
              </w:rPr>
              <w:t>Validate Auth.js/Supabase integration and authorization model.</w:t>
            </w:r>
          </w:p>
        </w:tc>
        <w:tc>
          <w:tcPr>
            <w:tcW w:type="dxa" w:w="3312"/>
            <w:vAlign w:val="center"/>
            <w:shd w:fill="F2F5F8"/>
          </w:tcPr>
          <w:p>
            <w:pPr>
              <w:spacing w:after="20"/>
            </w:pPr>
            <w:r>
              <w:rPr>
                <w:sz w:val="16"/>
              </w:rPr>
              <w:t>Development team runs technical spike.</w:t>
            </w:r>
          </w:p>
        </w:tc>
      </w:tr>
      <w:tr>
        <w:tc>
          <w:tcPr>
            <w:tcW w:type="dxa" w:w="3312"/>
            <w:vAlign w:val="center"/>
          </w:tcPr>
          <w:p>
            <w:pPr>
              <w:spacing w:after="20"/>
            </w:pPr>
            <w:r>
              <w:rPr>
                <w:sz w:val="16"/>
              </w:rPr>
              <w:t>TBD-14</w:t>
            </w:r>
          </w:p>
        </w:tc>
        <w:tc>
          <w:tcPr>
            <w:tcW w:type="dxa" w:w="3312"/>
            <w:vAlign w:val="center"/>
          </w:tcPr>
          <w:p>
            <w:pPr>
              <w:spacing w:after="20"/>
            </w:pPr>
            <w:r>
              <w:rPr>
                <w:sz w:val="16"/>
              </w:rPr>
              <w:t>Approve performance thresholds, dataset size, concurrent users, and device support.</w:t>
            </w:r>
          </w:p>
        </w:tc>
        <w:tc>
          <w:tcPr>
            <w:tcW w:type="dxa" w:w="3312"/>
            <w:vAlign w:val="center"/>
          </w:tcPr>
          <w:p>
            <w:pPr>
              <w:spacing w:after="20"/>
            </w:pPr>
            <w:r>
              <w:rPr>
                <w:sz w:val="16"/>
              </w:rPr>
              <w:t>Client/team approve test conditions.</w:t>
            </w:r>
          </w:p>
        </w:tc>
      </w:tr>
      <w:tr>
        <w:tc>
          <w:tcPr>
            <w:tcW w:type="dxa" w:w="3312"/>
            <w:vAlign w:val="center"/>
            <w:shd w:fill="F2F5F8"/>
          </w:tcPr>
          <w:p>
            <w:pPr>
              <w:spacing w:after="20"/>
            </w:pPr>
            <w:r>
              <w:rPr>
                <w:sz w:val="16"/>
              </w:rPr>
              <w:t>TBD-15</w:t>
            </w:r>
          </w:p>
        </w:tc>
        <w:tc>
          <w:tcPr>
            <w:tcW w:type="dxa" w:w="3312"/>
            <w:vAlign w:val="center"/>
            <w:shd w:fill="F2F5F8"/>
          </w:tcPr>
          <w:p>
            <w:pPr>
              <w:spacing w:after="20"/>
            </w:pPr>
            <w:r>
              <w:rPr>
                <w:sz w:val="16"/>
              </w:rPr>
              <w:t>Approve profitability drill-down and POD completeness cue as scope.</w:t>
            </w:r>
          </w:p>
        </w:tc>
        <w:tc>
          <w:tcPr>
            <w:tcW w:type="dxa" w:w="3312"/>
            <w:vAlign w:val="center"/>
            <w:shd w:fill="F2F5F8"/>
          </w:tcPr>
          <w:p>
            <w:pPr>
              <w:spacing w:after="20"/>
            </w:pPr>
            <w:r>
              <w:rPr>
                <w:sz w:val="16"/>
              </w:rPr>
              <w:t>Client confirms.</w:t>
            </w:r>
          </w:p>
        </w:tc>
      </w:tr>
      <w:tr>
        <w:tc>
          <w:tcPr>
            <w:tcW w:type="dxa" w:w="3312"/>
            <w:vAlign w:val="center"/>
          </w:tcPr>
          <w:p>
            <w:pPr>
              <w:spacing w:after="20"/>
            </w:pPr>
            <w:r>
              <w:rPr>
                <w:sz w:val="16"/>
              </w:rPr>
              <w:t>TBD-16</w:t>
            </w:r>
          </w:p>
        </w:tc>
        <w:tc>
          <w:tcPr>
            <w:tcW w:type="dxa" w:w="3312"/>
            <w:vAlign w:val="center"/>
          </w:tcPr>
          <w:p>
            <w:pPr>
              <w:spacing w:after="20"/>
            </w:pPr>
            <w:r>
              <w:rPr>
                <w:sz w:val="16"/>
              </w:rPr>
              <w:t>Confirm acceptance criteria and UAT sign-off process.</w:t>
            </w:r>
          </w:p>
        </w:tc>
        <w:tc>
          <w:tcPr>
            <w:tcW w:type="dxa" w:w="3312"/>
            <w:vAlign w:val="center"/>
          </w:tcPr>
          <w:p>
            <w:pPr>
              <w:spacing w:after="20"/>
            </w:pPr>
            <w:r>
              <w:rPr>
                <w:sz w:val="16"/>
              </w:rPr>
              <w:t>Project manager/client agree.</w:t>
            </w:r>
          </w:p>
        </w:tc>
      </w:tr>
    </w:tbl>
    <w:p/>
    <w:p>
      <w:pPr>
        <w:pStyle w:val="Heading1"/>
      </w:pPr>
      <w:r>
        <w:t>Appendix D: References</w:t>
      </w:r>
    </w:p>
    <w:p>
      <w:pPr>
        <w:pStyle w:val="ListBullet"/>
      </w:pPr>
      <w:r>
        <w:t>RouteX_SRS.pdf, Version 1.0 draft, uploaded by the project team.</w:t>
      </w:r>
    </w:p>
    <w:p>
      <w:pPr>
        <w:pStyle w:val="ListBullet"/>
      </w:pPr>
      <w:r>
        <w:t>SRS-Template (1).docx, uploaded SRS template.</w:t>
      </w:r>
    </w:p>
    <w:p>
      <w:pPr>
        <w:pStyle w:val="ListBullet"/>
      </w:pPr>
      <w:r>
        <w:t>RouteX Letter of Agreement and related project documents supplied previously.</w:t>
      </w:r>
    </w:p>
    <w:p>
      <w:pPr>
        <w:pStyle w:val="ListBullet"/>
      </w:pPr>
      <w:r>
        <w:t>Republic Act No. 10173, Data Privacy Act of 2012, subject to appropriate compliance review.</w:t>
      </w:r>
    </w:p>
    <w:p>
      <w:pPr>
        <w:pStyle w:val="Heading1"/>
      </w:pPr>
      <w:r>
        <w:t>Requirements Validation / Consistency Review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33A52"/>
          </w:tcPr>
          <w:p>
            <w:r>
              <w:rPr>
                <w:b/>
                <w:color w:val="FFFFFF"/>
                <w:sz w:val="16"/>
              </w:rPr>
              <w:t>Review check</w:t>
            </w:r>
          </w:p>
        </w:tc>
        <w:tc>
          <w:tcPr>
            <w:tcW w:type="dxa" w:w="3312"/>
            <w:shd w:fill="233A52"/>
          </w:tcPr>
          <w:p>
            <w:r>
              <w:rPr>
                <w:b/>
                <w:color w:val="FFFFFF"/>
                <w:sz w:val="16"/>
              </w:rPr>
              <w:t>Status</w:t>
            </w:r>
          </w:p>
        </w:tc>
        <w:tc>
          <w:tcPr>
            <w:tcW w:type="dxa" w:w="3312"/>
            <w:shd w:fill="233A52"/>
          </w:tcPr>
          <w:p>
            <w:r>
              <w:rPr>
                <w:b/>
                <w:color w:val="FFFFFF"/>
                <w:sz w:val="16"/>
              </w:rPr>
              <w:t>Notes / action</w:t>
            </w:r>
          </w:p>
        </w:tc>
      </w:tr>
      <w:tr>
        <w:tc>
          <w:tcPr>
            <w:tcW w:type="dxa" w:w="3312"/>
            <w:vAlign w:val="center"/>
            <w:shd w:fill="F2F5F8"/>
          </w:tcPr>
          <w:p>
            <w:pPr>
              <w:spacing w:after="20"/>
            </w:pPr>
            <w:r>
              <w:rPr>
                <w:sz w:val="16"/>
              </w:rPr>
              <w:t>Scope matches RouteX concept</w:t>
            </w:r>
          </w:p>
        </w:tc>
        <w:tc>
          <w:tcPr>
            <w:tcW w:type="dxa" w:w="3312"/>
            <w:vAlign w:val="center"/>
            <w:shd w:fill="F2F5F8"/>
          </w:tcPr>
          <w:p>
            <w:pPr>
              <w:spacing w:after="20"/>
            </w:pPr>
            <w:r>
              <w:rPr>
                <w:sz w:val="16"/>
              </w:rPr>
              <w:t>☑ Drafted</w:t>
            </w:r>
          </w:p>
        </w:tc>
        <w:tc>
          <w:tcPr>
            <w:tcW w:type="dxa" w:w="3312"/>
            <w:vAlign w:val="center"/>
            <w:shd w:fill="F2F5F8"/>
          </w:tcPr>
          <w:p>
            <w:pPr>
              <w:spacing w:after="20"/>
            </w:pPr>
            <w:r>
              <w:rPr>
                <w:sz w:val="16"/>
              </w:rPr>
              <w:t>Internal post-delivery system; no live GPS/dispatch.</w:t>
            </w:r>
          </w:p>
        </w:tc>
      </w:tr>
      <w:tr>
        <w:tc>
          <w:tcPr>
            <w:tcW w:type="dxa" w:w="3312"/>
            <w:vAlign w:val="center"/>
          </w:tcPr>
          <w:p>
            <w:pPr>
              <w:spacing w:after="20"/>
            </w:pPr>
            <w:r>
              <w:rPr>
                <w:sz w:val="16"/>
              </w:rPr>
              <w:t>Functional requirements have unique IDs</w:t>
            </w:r>
          </w:p>
        </w:tc>
        <w:tc>
          <w:tcPr>
            <w:tcW w:type="dxa" w:w="3312"/>
            <w:vAlign w:val="center"/>
          </w:tcPr>
          <w:p>
            <w:pPr>
              <w:spacing w:after="20"/>
            </w:pPr>
            <w:r>
              <w:rPr>
                <w:sz w:val="16"/>
              </w:rPr>
              <w:t>☑ Drafted</w:t>
            </w:r>
          </w:p>
        </w:tc>
        <w:tc>
          <w:tcPr>
            <w:tcW w:type="dxa" w:w="3312"/>
            <w:vAlign w:val="center"/>
          </w:tcPr>
          <w:p>
            <w:pPr>
              <w:spacing w:after="20"/>
            </w:pPr>
            <w:r>
              <w:rPr>
                <w:sz w:val="16"/>
              </w:rPr>
              <w:t>Map approved IDs to test cases.</w:t>
            </w:r>
          </w:p>
        </w:tc>
      </w:tr>
      <w:tr>
        <w:tc>
          <w:tcPr>
            <w:tcW w:type="dxa" w:w="3312"/>
            <w:vAlign w:val="center"/>
            <w:shd w:fill="F2F5F8"/>
          </w:tcPr>
          <w:p>
            <w:pPr>
              <w:spacing w:after="20"/>
            </w:pPr>
            <w:r>
              <w:rPr>
                <w:sz w:val="16"/>
              </w:rPr>
              <w:t>Profitability/expense rules finalized</w:t>
            </w:r>
          </w:p>
        </w:tc>
        <w:tc>
          <w:tcPr>
            <w:tcW w:type="dxa" w:w="3312"/>
            <w:vAlign w:val="center"/>
            <w:shd w:fill="F2F5F8"/>
          </w:tcPr>
          <w:p>
            <w:pPr>
              <w:spacing w:after="20"/>
            </w:pPr>
            <w:r>
              <w:rPr>
                <w:sz w:val="16"/>
              </w:rPr>
              <w:t>△ Partial</w:t>
            </w:r>
          </w:p>
        </w:tc>
        <w:tc>
          <w:tcPr>
            <w:tcW w:type="dxa" w:w="3312"/>
            <w:vAlign w:val="center"/>
            <w:shd w:fill="F2F5F8"/>
          </w:tcPr>
          <w:p>
            <w:pPr>
              <w:spacing w:after="20"/>
            </w:pPr>
            <w:r>
              <w:rPr>
                <w:sz w:val="16"/>
              </w:rPr>
              <w:t>Formulas and classifications remain TBD.</w:t>
            </w:r>
          </w:p>
        </w:tc>
      </w:tr>
      <w:tr>
        <w:tc>
          <w:tcPr>
            <w:tcW w:type="dxa" w:w="3312"/>
            <w:vAlign w:val="center"/>
          </w:tcPr>
          <w:p>
            <w:pPr>
              <w:spacing w:after="20"/>
            </w:pPr>
            <w:r>
              <w:rPr>
                <w:sz w:val="16"/>
              </w:rPr>
              <w:t>Roles and separation of duties specified</w:t>
            </w:r>
          </w:p>
        </w:tc>
        <w:tc>
          <w:tcPr>
            <w:tcW w:type="dxa" w:w="3312"/>
            <w:vAlign w:val="center"/>
          </w:tcPr>
          <w:p>
            <w:pPr>
              <w:spacing w:after="20"/>
            </w:pPr>
            <w:r>
              <w:rPr>
                <w:sz w:val="16"/>
              </w:rPr>
              <w:t>△ Partial</w:t>
            </w:r>
          </w:p>
        </w:tc>
        <w:tc>
          <w:tcPr>
            <w:tcW w:type="dxa" w:w="3312"/>
            <w:vAlign w:val="center"/>
          </w:tcPr>
          <w:p>
            <w:pPr>
              <w:spacing w:after="20"/>
            </w:pPr>
            <w:r>
              <w:rPr>
                <w:sz w:val="16"/>
              </w:rPr>
              <w:t>Detailed permission matrix needs approval.</w:t>
            </w:r>
          </w:p>
        </w:tc>
      </w:tr>
      <w:tr>
        <w:tc>
          <w:tcPr>
            <w:tcW w:type="dxa" w:w="3312"/>
            <w:vAlign w:val="center"/>
            <w:shd w:fill="F2F5F8"/>
          </w:tcPr>
          <w:p>
            <w:pPr>
              <w:spacing w:after="20"/>
            </w:pPr>
            <w:r>
              <w:rPr>
                <w:sz w:val="16"/>
              </w:rPr>
              <w:t>Technical stack and interfaces specified</w:t>
            </w:r>
          </w:p>
        </w:tc>
        <w:tc>
          <w:tcPr>
            <w:tcW w:type="dxa" w:w="3312"/>
            <w:vAlign w:val="center"/>
            <w:shd w:fill="F2F5F8"/>
          </w:tcPr>
          <w:p>
            <w:pPr>
              <w:spacing w:after="20"/>
            </w:pPr>
            <w:r>
              <w:rPr>
                <w:sz w:val="16"/>
              </w:rPr>
              <w:t>△ Partial</w:t>
            </w:r>
          </w:p>
        </w:tc>
        <w:tc>
          <w:tcPr>
            <w:tcW w:type="dxa" w:w="3312"/>
            <w:vAlign w:val="center"/>
            <w:shd w:fill="F2F5F8"/>
          </w:tcPr>
          <w:p>
            <w:pPr>
              <w:spacing w:after="20"/>
            </w:pPr>
            <w:r>
              <w:rPr>
                <w:sz w:val="16"/>
              </w:rPr>
              <w:t>Auth.js/Supabase integration and hosting ownership need validation.</w:t>
            </w:r>
          </w:p>
        </w:tc>
      </w:tr>
      <w:tr>
        <w:tc>
          <w:tcPr>
            <w:tcW w:type="dxa" w:w="3312"/>
            <w:vAlign w:val="center"/>
          </w:tcPr>
          <w:p>
            <w:pPr>
              <w:spacing w:after="20"/>
            </w:pPr>
            <w:r>
              <w:rPr>
                <w:sz w:val="16"/>
              </w:rPr>
              <w:t>Use case diagram included</w:t>
            </w:r>
          </w:p>
        </w:tc>
        <w:tc>
          <w:tcPr>
            <w:tcW w:type="dxa" w:w="3312"/>
            <w:vAlign w:val="center"/>
          </w:tcPr>
          <w:p>
            <w:pPr>
              <w:spacing w:after="20"/>
            </w:pPr>
            <w:r>
              <w:rPr>
                <w:sz w:val="16"/>
              </w:rPr>
              <w:t>☑ Drafted</w:t>
            </w:r>
          </w:p>
        </w:tc>
        <w:tc>
          <w:tcPr>
            <w:tcW w:type="dxa" w:w="3312"/>
            <w:vAlign w:val="center"/>
          </w:tcPr>
          <w:p>
            <w:pPr>
              <w:spacing w:after="20"/>
            </w:pPr>
            <w:r>
              <w:rPr>
                <w:sz w:val="16"/>
              </w:rPr>
              <w:t>Mermaid source included; render for final.</w:t>
            </w:r>
          </w:p>
        </w:tc>
      </w:tr>
      <w:tr>
        <w:tc>
          <w:tcPr>
            <w:tcW w:type="dxa" w:w="3312"/>
            <w:vAlign w:val="center"/>
            <w:shd w:fill="F2F5F8"/>
          </w:tcPr>
          <w:p>
            <w:pPr>
              <w:spacing w:after="20"/>
            </w:pPr>
            <w:r>
              <w:rPr>
                <w:sz w:val="16"/>
              </w:rPr>
              <w:t>ERD included</w:t>
            </w:r>
          </w:p>
        </w:tc>
        <w:tc>
          <w:tcPr>
            <w:tcW w:type="dxa" w:w="3312"/>
            <w:vAlign w:val="center"/>
            <w:shd w:fill="F2F5F8"/>
          </w:tcPr>
          <w:p>
            <w:pPr>
              <w:spacing w:after="20"/>
            </w:pPr>
            <w:r>
              <w:rPr>
                <w:sz w:val="16"/>
              </w:rPr>
              <w:t>△ Provisional</w:t>
            </w:r>
          </w:p>
        </w:tc>
        <w:tc>
          <w:tcPr>
            <w:tcW w:type="dxa" w:w="3312"/>
            <w:vAlign w:val="center"/>
            <w:shd w:fill="F2F5F8"/>
          </w:tcPr>
          <w:p>
            <w:pPr>
              <w:spacing w:after="20"/>
            </w:pPr>
            <w:r>
              <w:rPr>
                <w:sz w:val="16"/>
              </w:rPr>
              <w:t>Conceptual source only, not final schema.</w:t>
            </w:r>
          </w:p>
        </w:tc>
      </w:tr>
      <w:tr>
        <w:tc>
          <w:tcPr>
            <w:tcW w:type="dxa" w:w="3312"/>
            <w:vAlign w:val="center"/>
          </w:tcPr>
          <w:p>
            <w:pPr>
              <w:spacing w:after="20"/>
            </w:pPr>
            <w:r>
              <w:rPr>
                <w:sz w:val="16"/>
              </w:rPr>
              <w:t>Activity/process model included</w:t>
            </w:r>
          </w:p>
        </w:tc>
        <w:tc>
          <w:tcPr>
            <w:tcW w:type="dxa" w:w="3312"/>
            <w:vAlign w:val="center"/>
          </w:tcPr>
          <w:p>
            <w:pPr>
              <w:spacing w:after="20"/>
            </w:pPr>
            <w:r>
              <w:rPr>
                <w:sz w:val="16"/>
              </w:rPr>
              <w:t>☑ Drafted</w:t>
            </w:r>
          </w:p>
        </w:tc>
        <w:tc>
          <w:tcPr>
            <w:tcW w:type="dxa" w:w="3312"/>
            <w:vAlign w:val="center"/>
          </w:tcPr>
          <w:p>
            <w:pPr>
              <w:spacing w:after="20"/>
            </w:pPr>
            <w:r>
              <w:rPr>
                <w:sz w:val="16"/>
              </w:rPr>
              <w:t>Mermaid source included; render for final.</w:t>
            </w:r>
          </w:p>
        </w:tc>
      </w:tr>
      <w:tr>
        <w:tc>
          <w:tcPr>
            <w:tcW w:type="dxa" w:w="3312"/>
            <w:vAlign w:val="center"/>
            <w:shd w:fill="F2F5F8"/>
          </w:tcPr>
          <w:p>
            <w:pPr>
              <w:spacing w:after="20"/>
            </w:pPr>
            <w:r>
              <w:rPr>
                <w:sz w:val="16"/>
              </w:rPr>
              <w:t>Nonfunctional requirements testable</w:t>
            </w:r>
          </w:p>
        </w:tc>
        <w:tc>
          <w:tcPr>
            <w:tcW w:type="dxa" w:w="3312"/>
            <w:vAlign w:val="center"/>
            <w:shd w:fill="F2F5F8"/>
          </w:tcPr>
          <w:p>
            <w:pPr>
              <w:spacing w:after="20"/>
            </w:pPr>
            <w:r>
              <w:rPr>
                <w:sz w:val="16"/>
              </w:rPr>
              <w:t>△ Partial</w:t>
            </w:r>
          </w:p>
        </w:tc>
        <w:tc>
          <w:tcPr>
            <w:tcW w:type="dxa" w:w="3312"/>
            <w:vAlign w:val="center"/>
            <w:shd w:fill="F2F5F8"/>
          </w:tcPr>
          <w:p>
            <w:pPr>
              <w:spacing w:after="20"/>
            </w:pPr>
            <w:r>
              <w:rPr>
                <w:sz w:val="16"/>
              </w:rPr>
              <w:t>Performance figures are proposed thresholds.</w:t>
            </w:r>
          </w:p>
        </w:tc>
      </w:tr>
      <w:tr>
        <w:tc>
          <w:tcPr>
            <w:tcW w:type="dxa" w:w="3312"/>
            <w:vAlign w:val="center"/>
          </w:tcPr>
          <w:p>
            <w:pPr>
              <w:spacing w:after="20"/>
            </w:pPr>
            <w:r>
              <w:rPr>
                <w:sz w:val="16"/>
              </w:rPr>
              <w:t>Retention and backup finalized</w:t>
            </w:r>
          </w:p>
        </w:tc>
        <w:tc>
          <w:tcPr>
            <w:tcW w:type="dxa" w:w="3312"/>
            <w:vAlign w:val="center"/>
          </w:tcPr>
          <w:p>
            <w:pPr>
              <w:spacing w:after="20"/>
            </w:pPr>
            <w:r>
              <w:rPr>
                <w:sz w:val="16"/>
              </w:rPr>
              <w:t>☐ No</w:t>
            </w:r>
          </w:p>
        </w:tc>
        <w:tc>
          <w:tcPr>
            <w:tcW w:type="dxa" w:w="3312"/>
            <w:vAlign w:val="center"/>
          </w:tcPr>
          <w:p>
            <w:pPr>
              <w:spacing w:after="20"/>
            </w:pPr>
            <w:r>
              <w:rPr>
                <w:sz w:val="16"/>
              </w:rPr>
              <w:t>Schedule and restoration objectives TBD.</w:t>
            </w:r>
          </w:p>
        </w:tc>
      </w:tr>
      <w:tr>
        <w:tc>
          <w:tcPr>
            <w:tcW w:type="dxa" w:w="3312"/>
            <w:vAlign w:val="center"/>
            <w:shd w:fill="F2F5F8"/>
          </w:tcPr>
          <w:p>
            <w:pPr>
              <w:spacing w:after="20"/>
            </w:pPr>
            <w:r>
              <w:rPr>
                <w:sz w:val="16"/>
              </w:rPr>
              <w:t>Client approval/sign-off</w:t>
            </w:r>
          </w:p>
        </w:tc>
        <w:tc>
          <w:tcPr>
            <w:tcW w:type="dxa" w:w="3312"/>
            <w:vAlign w:val="center"/>
            <w:shd w:fill="F2F5F8"/>
          </w:tcPr>
          <w:p>
            <w:pPr>
              <w:spacing w:after="20"/>
            </w:pPr>
            <w:r>
              <w:rPr>
                <w:sz w:val="16"/>
              </w:rPr>
              <w:t>☐ Pending</w:t>
            </w:r>
          </w:p>
        </w:tc>
        <w:tc>
          <w:tcPr>
            <w:tcW w:type="dxa" w:w="3312"/>
            <w:vAlign w:val="center"/>
            <w:shd w:fill="F2F5F8"/>
          </w:tcPr>
          <w:p>
            <w:pPr>
              <w:spacing w:after="20"/>
            </w:pPr>
            <w:r>
              <w:rPr>
                <w:sz w:val="16"/>
              </w:rPr>
              <w:t>Draft for review.</w:t>
            </w:r>
          </w:p>
        </w:tc>
      </w:tr>
    </w:tbl>
    <w:p/>
    <w:p>
      <w:r>
        <w:t>Finalization note: This SRS is based on the uploaded draft/template and previously established RouteX context. Items marked TBD, proposed, or partial must be resolved or explicitly accepted before requirements become final. Example payroll figures, margin targets, and charge rules are not approved universal policies.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RouteX SRS v1.0 | Draft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RouteX | Software Requirements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33A5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33A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33A5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33A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