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80"/>
        <w:jc w:val="center"/>
      </w:pPr>
      <w:r>
        <w:rPr>
          <w:rFonts w:ascii="Arial" w:hAnsi="Arial"/>
          <w:b/>
          <w:sz w:val="28"/>
        </w:rPr>
        <w:t>Republic of the Philippines</w:t>
        <w:br/>
        <w:t>CAVITE STATE UNIVERSITY</w:t>
      </w:r>
    </w:p>
    <w:p>
      <w:pPr>
        <w:jc w:val="center"/>
      </w:pPr>
      <w:r>
        <w:rPr>
          <w:rFonts w:ascii="Arial" w:hAnsi="Arial"/>
          <w:sz w:val="20"/>
        </w:rPr>
        <w:t>College of Engineering and Information Technology</w:t>
        <w:br/>
        <w:t>Don Severino delas Alas Campus, Indang, Cavite</w:t>
      </w:r>
    </w:p>
    <w:p>
      <w:pPr>
        <w:spacing w:before="1000" w:after="200"/>
        <w:jc w:val="center"/>
      </w:pPr>
      <w:r>
        <w:rPr>
          <w:rFonts w:ascii="Arial" w:hAnsi="Arial"/>
          <w:b/>
          <w:sz w:val="44"/>
        </w:rPr>
        <w:t>Software Requirements Specification</w:t>
      </w:r>
    </w:p>
    <w:p>
      <w:pPr>
        <w:jc w:val="center"/>
      </w:pPr>
      <w:r>
        <w:rPr>
          <w:sz w:val="20"/>
        </w:rPr>
        <w:t>for</w:t>
      </w:r>
    </w:p>
    <w:p>
      <w:pPr>
        <w:jc w:val="center"/>
      </w:pPr>
      <w:r>
        <w:rPr>
          <w:rFonts w:ascii="Arial" w:hAnsi="Arial"/>
          <w:b/>
          <w:sz w:val="30"/>
        </w:rPr>
        <w:t>RouteX: A Truck Profitability and Delivery Operations</w:t>
        <w:br/>
        <w:t>Management System</w:t>
      </w:r>
    </w:p>
    <w:p>
      <w:pPr>
        <w:spacing w:before="320"/>
        <w:jc w:val="center"/>
      </w:pPr>
      <w:r>
        <w:t>Version 1.3 - Priority Revision</w:t>
      </w:r>
    </w:p>
    <w:p>
      <w:pPr>
        <w:spacing w:before="360"/>
        <w:jc w:val="center"/>
      </w:pPr>
      <w:r>
        <w:rPr>
          <w:b/>
          <w:sz w:val="20"/>
        </w:rPr>
        <w:t>Prepared for:</w:t>
      </w:r>
    </w:p>
    <w:p>
      <w:pPr>
        <w:jc w:val="center"/>
      </w:pPr>
      <w:r>
        <w:rPr>
          <w:sz w:val="19"/>
        </w:rPr>
        <w:t>Redeemed Route Logistics Inc.</w:t>
        <w:br/>
        <w:t>3rd Floor, Glass Door, AGDC Commercial Bldg, Trece Martires - Indang Rd,</w:t>
        <w:br/>
        <w:t>Inocencio, Trece Martires City, 4109 Cavite</w:t>
      </w:r>
    </w:p>
    <w:p>
      <w:pPr>
        <w:spacing w:before="360"/>
        <w:jc w:val="center"/>
      </w:pPr>
      <w:r>
        <w:rPr>
          <w:b/>
          <w:sz w:val="20"/>
        </w:rPr>
        <w:t>Prepared by: RouteX Project Team</w:t>
      </w:r>
    </w:p>
    <w:p>
      <w:pPr>
        <w:jc w:val="center"/>
      </w:pPr>
      <w:r>
        <w:rPr>
          <w:sz w:val="19"/>
        </w:rPr>
        <w:t>Louiza Joy C. Beñares</w:t>
        <w:br/>
        <w:t>Jelene C. Punongbayan</w:t>
        <w:br/>
        <w:t>Marc Rancel R. Bongalos</w:t>
      </w:r>
    </w:p>
    <w:p>
      <w:pPr>
        <w:spacing w:before="280"/>
        <w:jc w:val="center"/>
      </w:pPr>
      <w:r>
        <w:rPr>
          <w:sz w:val="19"/>
        </w:rPr>
        <w:t>Date: October 17, 2026</w:t>
      </w:r>
    </w:p>
    <w:p>
      <w:r>
        <w:br w:type="page"/>
      </w:r>
    </w:p>
    <w:p>
      <w:pPr>
        <w:pStyle w:val="Heading1"/>
      </w:pPr>
      <w:r>
        <w:t>Table of Contents</w:t>
      </w:r>
    </w:p>
    <w:p>
      <w:pPr>
        <w:tabs>
          <w:tab w:pos="9576" w:val="right" w:leader="dot"/>
        </w:tabs>
        <w:spacing w:after="40"/>
      </w:pPr>
      <w:r>
        <w:rPr>
          <w:rFonts w:ascii="Arial" w:hAnsi="Arial"/>
          <w:sz w:val="18"/>
        </w:rPr>
        <w:t>Table of Contents</w:t>
        <w:tab/>
        <w:t>2</w:t>
      </w:r>
    </w:p>
    <w:p>
      <w:pPr>
        <w:tabs>
          <w:tab w:pos="9576" w:val="right" w:leader="dot"/>
        </w:tabs>
        <w:spacing w:after="40"/>
      </w:pPr>
      <w:r>
        <w:rPr>
          <w:rFonts w:ascii="Arial" w:hAnsi="Arial"/>
          <w:sz w:val="18"/>
        </w:rPr>
        <w:t>Revision History</w:t>
        <w:tab/>
        <w:t>2</w:t>
      </w:r>
    </w:p>
    <w:p>
      <w:pPr>
        <w:tabs>
          <w:tab w:pos="9576" w:val="right" w:leader="dot"/>
        </w:tabs>
        <w:spacing w:after="40"/>
      </w:pPr>
      <w:r>
        <w:rPr>
          <w:rFonts w:ascii="Arial" w:hAnsi="Arial"/>
          <w:sz w:val="18"/>
        </w:rPr>
        <w:t>1. Introduction</w:t>
        <w:tab/>
        <w:t>3</w:t>
      </w:r>
    </w:p>
    <w:p>
      <w:pPr>
        <w:tabs>
          <w:tab w:pos="9576" w:val="right" w:leader="dot"/>
        </w:tabs>
        <w:spacing w:after="40"/>
      </w:pPr>
      <w:r>
        <w:rPr>
          <w:rFonts w:ascii="Arial" w:hAnsi="Arial"/>
          <w:sz w:val="18"/>
        </w:rPr>
        <w:t xml:space="preserve">    1.1. Document Conventions</w:t>
        <w:tab/>
        <w:t>3</w:t>
      </w:r>
    </w:p>
    <w:p>
      <w:pPr>
        <w:tabs>
          <w:tab w:pos="9576" w:val="right" w:leader="dot"/>
        </w:tabs>
        <w:spacing w:after="40"/>
      </w:pPr>
      <w:r>
        <w:rPr>
          <w:rFonts w:ascii="Arial" w:hAnsi="Arial"/>
          <w:sz w:val="18"/>
        </w:rPr>
        <w:t xml:space="preserve">    1.2. Purpose</w:t>
        <w:tab/>
        <w:t>3</w:t>
      </w:r>
    </w:p>
    <w:p>
      <w:pPr>
        <w:tabs>
          <w:tab w:pos="9576" w:val="right" w:leader="dot"/>
        </w:tabs>
        <w:spacing w:after="40"/>
      </w:pPr>
      <w:r>
        <w:rPr>
          <w:rFonts w:ascii="Arial" w:hAnsi="Arial"/>
          <w:sz w:val="18"/>
        </w:rPr>
        <w:t xml:space="preserve">    1.3. Project Scope</w:t>
        <w:tab/>
        <w:t>3</w:t>
      </w:r>
    </w:p>
    <w:p>
      <w:pPr>
        <w:tabs>
          <w:tab w:pos="9576" w:val="right" w:leader="dot"/>
        </w:tabs>
        <w:spacing w:after="40"/>
      </w:pPr>
      <w:r>
        <w:rPr>
          <w:rFonts w:ascii="Arial" w:hAnsi="Arial"/>
          <w:sz w:val="18"/>
        </w:rPr>
        <w:t xml:space="preserve">    1.4. Product Perspective</w:t>
        <w:tab/>
        <w:t>4</w:t>
      </w:r>
    </w:p>
    <w:p>
      <w:pPr>
        <w:tabs>
          <w:tab w:pos="9576" w:val="right" w:leader="dot"/>
        </w:tabs>
        <w:spacing w:after="40"/>
      </w:pPr>
      <w:r>
        <w:rPr>
          <w:rFonts w:ascii="Arial" w:hAnsi="Arial"/>
          <w:sz w:val="18"/>
        </w:rPr>
        <w:t xml:space="preserve">    1.5. Product Functions</w:t>
        <w:tab/>
        <w:t>4</w:t>
      </w:r>
    </w:p>
    <w:p>
      <w:pPr>
        <w:tabs>
          <w:tab w:pos="9576" w:val="right" w:leader="dot"/>
        </w:tabs>
        <w:spacing w:after="40"/>
      </w:pPr>
      <w:r>
        <w:rPr>
          <w:rFonts w:ascii="Arial" w:hAnsi="Arial"/>
          <w:sz w:val="18"/>
        </w:rPr>
        <w:t xml:space="preserve">    1.6. Design and Implementation Constraints</w:t>
        <w:tab/>
        <w:t>5</w:t>
      </w:r>
    </w:p>
    <w:p>
      <w:pPr>
        <w:tabs>
          <w:tab w:pos="9576" w:val="right" w:leader="dot"/>
        </w:tabs>
        <w:spacing w:after="40"/>
      </w:pPr>
      <w:r>
        <w:rPr>
          <w:rFonts w:ascii="Arial" w:hAnsi="Arial"/>
          <w:sz w:val="18"/>
        </w:rPr>
        <w:t xml:space="preserve">    1.7. User Documentation</w:t>
        <w:tab/>
        <w:t>5</w:t>
      </w:r>
    </w:p>
    <w:p>
      <w:pPr>
        <w:tabs>
          <w:tab w:pos="9576" w:val="right" w:leader="dot"/>
        </w:tabs>
        <w:spacing w:after="40"/>
      </w:pPr>
      <w:r>
        <w:rPr>
          <w:rFonts w:ascii="Arial" w:hAnsi="Arial"/>
          <w:sz w:val="18"/>
        </w:rPr>
        <w:t xml:space="preserve">    1.8. Assumptions and Dependencies</w:t>
        <w:tab/>
        <w:t>5</w:t>
      </w:r>
    </w:p>
    <w:p>
      <w:pPr>
        <w:tabs>
          <w:tab w:pos="9576" w:val="right" w:leader="dot"/>
        </w:tabs>
        <w:spacing w:after="40"/>
      </w:pPr>
      <w:r>
        <w:rPr>
          <w:rFonts w:ascii="Arial" w:hAnsi="Arial"/>
          <w:sz w:val="18"/>
        </w:rPr>
        <w:t>2. Data Requirements</w:t>
        <w:tab/>
        <w:t>6</w:t>
      </w:r>
    </w:p>
    <w:p>
      <w:pPr>
        <w:tabs>
          <w:tab w:pos="9576" w:val="right" w:leader="dot"/>
        </w:tabs>
        <w:spacing w:after="40"/>
      </w:pPr>
      <w:r>
        <w:rPr>
          <w:rFonts w:ascii="Arial" w:hAnsi="Arial"/>
          <w:sz w:val="18"/>
        </w:rPr>
        <w:t xml:space="preserve">    2.1. Data Validation Rules</w:t>
        <w:tab/>
        <w:t>6</w:t>
      </w:r>
    </w:p>
    <w:p>
      <w:pPr>
        <w:tabs>
          <w:tab w:pos="9576" w:val="right" w:leader="dot"/>
        </w:tabs>
        <w:spacing w:after="40"/>
      </w:pPr>
      <w:r>
        <w:rPr>
          <w:rFonts w:ascii="Arial" w:hAnsi="Arial"/>
          <w:sz w:val="18"/>
        </w:rPr>
        <w:t xml:space="preserve">    2.2. Data Security and Privacy Requirements</w:t>
        <w:tab/>
        <w:t>6</w:t>
      </w:r>
    </w:p>
    <w:p>
      <w:pPr>
        <w:tabs>
          <w:tab w:pos="9576" w:val="right" w:leader="dot"/>
        </w:tabs>
        <w:spacing w:after="40"/>
      </w:pPr>
      <w:r>
        <w:rPr>
          <w:rFonts w:ascii="Arial" w:hAnsi="Arial"/>
          <w:sz w:val="18"/>
        </w:rPr>
        <w:t xml:space="preserve">    2.3. Data Retention and Backup Requirements</w:t>
        <w:tab/>
        <w:t>6</w:t>
      </w:r>
    </w:p>
    <w:p>
      <w:pPr>
        <w:tabs>
          <w:tab w:pos="9576" w:val="right" w:leader="dot"/>
        </w:tabs>
        <w:spacing w:after="40"/>
      </w:pPr>
      <w:r>
        <w:rPr>
          <w:rFonts w:ascii="Arial" w:hAnsi="Arial"/>
          <w:sz w:val="18"/>
        </w:rPr>
        <w:t>3. System Features</w:t>
        <w:tab/>
        <w:t>7</w:t>
      </w:r>
    </w:p>
    <w:p>
      <w:pPr>
        <w:tabs>
          <w:tab w:pos="9576" w:val="right" w:leader="dot"/>
        </w:tabs>
        <w:spacing w:after="40"/>
      </w:pPr>
      <w:r>
        <w:rPr>
          <w:rFonts w:ascii="Arial" w:hAnsi="Arial"/>
          <w:sz w:val="18"/>
        </w:rPr>
        <w:t xml:space="preserve">    3.1. Functional Requirements</w:t>
        <w:tab/>
        <w:t>7</w:t>
      </w:r>
    </w:p>
    <w:p>
      <w:pPr>
        <w:tabs>
          <w:tab w:pos="9576" w:val="right" w:leader="dot"/>
        </w:tabs>
        <w:spacing w:after="40"/>
      </w:pPr>
      <w:r>
        <w:rPr>
          <w:rFonts w:ascii="Arial" w:hAnsi="Arial"/>
          <w:sz w:val="18"/>
        </w:rPr>
        <w:t xml:space="preserve">    3.2. Nonfunctional Requirements</w:t>
        <w:tab/>
        <w:t>9</w:t>
      </w:r>
    </w:p>
    <w:p>
      <w:pPr>
        <w:tabs>
          <w:tab w:pos="9576" w:val="right" w:leader="dot"/>
        </w:tabs>
        <w:spacing w:after="40"/>
      </w:pPr>
      <w:r>
        <w:rPr>
          <w:rFonts w:ascii="Arial" w:hAnsi="Arial"/>
          <w:sz w:val="18"/>
        </w:rPr>
        <w:t>4. System Model and Diagrams</w:t>
        <w:tab/>
        <w:t>11</w:t>
      </w:r>
    </w:p>
    <w:p>
      <w:pPr>
        <w:tabs>
          <w:tab w:pos="9576" w:val="right" w:leader="dot"/>
        </w:tabs>
        <w:spacing w:after="40"/>
      </w:pPr>
      <w:r>
        <w:rPr>
          <w:rFonts w:ascii="Arial" w:hAnsi="Arial"/>
          <w:sz w:val="18"/>
        </w:rPr>
        <w:t xml:space="preserve">    4.1. Use Case Diagrams</w:t>
        <w:tab/>
        <w:t>11</w:t>
      </w:r>
    </w:p>
    <w:p>
      <w:pPr>
        <w:tabs>
          <w:tab w:pos="9576" w:val="right" w:leader="dot"/>
        </w:tabs>
        <w:spacing w:after="40"/>
      </w:pPr>
      <w:r>
        <w:rPr>
          <w:rFonts w:ascii="Arial" w:hAnsi="Arial"/>
          <w:sz w:val="18"/>
        </w:rPr>
        <w:t xml:space="preserve">    4.2. Entity Relationship Diagrams</w:t>
        <w:tab/>
        <w:t>11</w:t>
      </w:r>
    </w:p>
    <w:p>
      <w:pPr>
        <w:tabs>
          <w:tab w:pos="9576" w:val="right" w:leader="dot"/>
        </w:tabs>
        <w:spacing w:after="40"/>
      </w:pPr>
      <w:r>
        <w:rPr>
          <w:rFonts w:ascii="Arial" w:hAnsi="Arial"/>
          <w:sz w:val="18"/>
        </w:rPr>
        <w:t xml:space="preserve">    4.3. Activity Diagrams</w:t>
        <w:tab/>
        <w:t>12</w:t>
      </w:r>
    </w:p>
    <w:p>
      <w:pPr>
        <w:tabs>
          <w:tab w:pos="9576" w:val="right" w:leader="dot"/>
        </w:tabs>
        <w:spacing w:after="40"/>
      </w:pPr>
      <w:r>
        <w:rPr>
          <w:rFonts w:ascii="Arial" w:hAnsi="Arial"/>
          <w:sz w:val="18"/>
        </w:rPr>
        <w:t>5. Other Requirements</w:t>
        <w:tab/>
        <w:t>12</w:t>
      </w:r>
    </w:p>
    <w:p>
      <w:pPr>
        <w:tabs>
          <w:tab w:pos="9576" w:val="right" w:leader="dot"/>
        </w:tabs>
        <w:spacing w:after="40"/>
      </w:pPr>
      <w:r>
        <w:rPr>
          <w:rFonts w:ascii="Arial" w:hAnsi="Arial"/>
          <w:sz w:val="18"/>
        </w:rPr>
        <w:t xml:space="preserve">    Appendix A: Glossary</w:t>
        <w:tab/>
        <w:t>13</w:t>
      </w:r>
    </w:p>
    <w:p>
      <w:pPr>
        <w:tabs>
          <w:tab w:pos="9576" w:val="right" w:leader="dot"/>
        </w:tabs>
        <w:spacing w:after="40"/>
      </w:pPr>
      <w:r>
        <w:rPr>
          <w:rFonts w:ascii="Arial" w:hAnsi="Arial"/>
          <w:sz w:val="18"/>
        </w:rPr>
        <w:t xml:space="preserve">    Appendix B: To Be Determined List</w:t>
        <w:tab/>
        <w:t>13</w:t>
      </w:r>
    </w:p>
    <w:p>
      <w:pPr>
        <w:tabs>
          <w:tab w:pos="9576" w:val="right" w:leader="dot"/>
        </w:tabs>
        <w:spacing w:after="40"/>
      </w:pPr>
      <w:r>
        <w:rPr>
          <w:rFonts w:ascii="Arial" w:hAnsi="Arial"/>
          <w:sz w:val="18"/>
        </w:rPr>
        <w:t xml:space="preserve">    Appendix C: References</w:t>
        <w:tab/>
        <w:t>14</w:t>
      </w:r>
    </w:p>
    <w:p>
      <w:pPr>
        <w:tabs>
          <w:tab w:pos="9576" w:val="right" w:leader="dot"/>
        </w:tabs>
        <w:spacing w:after="40"/>
      </w:pPr>
      <w:r>
        <w:rPr>
          <w:rFonts w:ascii="Arial" w:hAnsi="Arial"/>
          <w:sz w:val="18"/>
        </w:rPr>
        <w:t>Requirements Validation / Consistency Review</w:t>
        <w:tab/>
        <w:t>14</w:t>
      </w:r>
    </w:p>
    <w:p>
      <w:pPr>
        <w:pStyle w:val="Heading1"/>
      </w:pPr>
      <w:r>
        <w:t>Revision History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440"/>
            <w:shd w:fill="E7E7E7"/>
            <w:tcMar>
              <w:top w:w="70" w:type="dxa"/>
              <w:start w:w="80" w:type="dxa"/>
              <w:bottom w:w="70" w:type="dxa"/>
              <w:end w:w="80" w:type="dxa"/>
            </w:tcMar>
            <w:vAlign w:val="center"/>
          </w:tcPr>
          <w:p>
            <w:pPr>
              <w:spacing w:after="0"/>
            </w:pPr>
            <w:r>
              <w:rPr>
                <w:rFonts w:ascii="Arial" w:hAnsi="Arial"/>
                <w:b/>
                <w:color w:val="000000"/>
                <w:sz w:val="15"/>
              </w:rPr>
              <w:t>Name</w:t>
            </w:r>
          </w:p>
        </w:tc>
        <w:tc>
          <w:tcPr>
            <w:tcW w:type="dxa" w:w="1584"/>
            <w:shd w:fill="E7E7E7"/>
            <w:tcMar>
              <w:top w:w="70" w:type="dxa"/>
              <w:start w:w="80" w:type="dxa"/>
              <w:bottom w:w="70" w:type="dxa"/>
              <w:end w:w="80" w:type="dxa"/>
            </w:tcMar>
            <w:vAlign w:val="center"/>
          </w:tcPr>
          <w:p>
            <w:pPr>
              <w:spacing w:after="0"/>
            </w:pPr>
            <w:r>
              <w:rPr>
                <w:rFonts w:ascii="Arial" w:hAnsi="Arial"/>
                <w:b/>
                <w:color w:val="000000"/>
                <w:sz w:val="15"/>
              </w:rPr>
              <w:t>Date</w:t>
            </w:r>
          </w:p>
        </w:tc>
        <w:tc>
          <w:tcPr>
            <w:tcW w:type="dxa" w:w="5184"/>
            <w:shd w:fill="E7E7E7"/>
            <w:tcMar>
              <w:top w:w="70" w:type="dxa"/>
              <w:start w:w="80" w:type="dxa"/>
              <w:bottom w:w="70" w:type="dxa"/>
              <w:end w:w="80" w:type="dxa"/>
            </w:tcMar>
            <w:vAlign w:val="center"/>
          </w:tcPr>
          <w:p>
            <w:pPr>
              <w:spacing w:after="0"/>
            </w:pPr>
            <w:r>
              <w:rPr>
                <w:rFonts w:ascii="Arial" w:hAnsi="Arial"/>
                <w:b/>
                <w:color w:val="000000"/>
                <w:sz w:val="15"/>
              </w:rPr>
              <w:t>Reason for Changes</w:t>
            </w:r>
          </w:p>
        </w:tc>
        <w:tc>
          <w:tcPr>
            <w:tcW w:type="dxa" w:w="1440"/>
            <w:shd w:fill="E7E7E7"/>
            <w:tcMar>
              <w:top w:w="70" w:type="dxa"/>
              <w:start w:w="80" w:type="dxa"/>
              <w:bottom w:w="70" w:type="dxa"/>
              <w:end w:w="80" w:type="dxa"/>
            </w:tcMar>
            <w:vAlign w:val="center"/>
          </w:tcPr>
          <w:p>
            <w:pPr>
              <w:spacing w:after="0"/>
            </w:pPr>
            <w:r>
              <w:rPr>
                <w:rFonts w:ascii="Arial" w:hAnsi="Arial"/>
                <w:b/>
                <w:color w:val="000000"/>
                <w:sz w:val="15"/>
              </w:rPr>
              <w:t>Version</w:t>
            </w:r>
          </w:p>
        </w:tc>
      </w:tr>
      <w:tr>
        <w:trPr>
          <w:cantSplit/>
        </w:trPr>
        <w:tc>
          <w:tcPr>
            <w:tcW w:type="dxa" w:w="1440"/>
            <w:tcMar>
              <w:top w:w="70" w:type="dxa"/>
              <w:start w:w="80" w:type="dxa"/>
              <w:bottom w:w="70" w:type="dxa"/>
              <w:end w:w="80" w:type="dxa"/>
            </w:tcMar>
            <w:vAlign w:val="center"/>
          </w:tcPr>
          <w:p>
            <w:pPr>
              <w:spacing w:after="0" w:line="240" w:lineRule="auto"/>
            </w:pPr>
            <w:r>
              <w:rPr>
                <w:rFonts w:ascii="Arial" w:hAnsi="Arial"/>
                <w:color w:val="141414"/>
                <w:sz w:val="15"/>
              </w:rPr>
              <w:t>RouteX</w:t>
            </w:r>
          </w:p>
        </w:tc>
        <w:tc>
          <w:tcPr>
            <w:tcW w:type="dxa" w:w="1584"/>
            <w:tcMar>
              <w:top w:w="70" w:type="dxa"/>
              <w:start w:w="80" w:type="dxa"/>
              <w:bottom w:w="70" w:type="dxa"/>
              <w:end w:w="80" w:type="dxa"/>
            </w:tcMar>
            <w:vAlign w:val="center"/>
          </w:tcPr>
          <w:p>
            <w:pPr>
              <w:spacing w:after="0" w:line="240" w:lineRule="auto"/>
            </w:pPr>
            <w:r>
              <w:rPr>
                <w:rFonts w:ascii="Arial" w:hAnsi="Arial"/>
                <w:color w:val="141414"/>
                <w:sz w:val="15"/>
              </w:rPr>
              <w:t>September 26, 2026</w:t>
            </w:r>
          </w:p>
        </w:tc>
        <w:tc>
          <w:tcPr>
            <w:tcW w:type="dxa" w:w="5184"/>
            <w:tcMar>
              <w:top w:w="70" w:type="dxa"/>
              <w:start w:w="80" w:type="dxa"/>
              <w:bottom w:w="70" w:type="dxa"/>
              <w:end w:w="80" w:type="dxa"/>
            </w:tcMar>
            <w:vAlign w:val="center"/>
          </w:tcPr>
          <w:p>
            <w:pPr>
              <w:spacing w:after="0" w:line="240" w:lineRule="auto"/>
            </w:pPr>
            <w:r>
              <w:rPr>
                <w:rFonts w:ascii="Arial" w:hAnsi="Arial"/>
                <w:color w:val="141414"/>
                <w:sz w:val="15"/>
              </w:rPr>
              <w:t>Initial SRS draft (source PDF)</w:t>
            </w:r>
          </w:p>
        </w:tc>
        <w:tc>
          <w:tcPr>
            <w:tcW w:type="dxa" w:w="1440"/>
            <w:tcMar>
              <w:top w:w="70" w:type="dxa"/>
              <w:start w:w="80" w:type="dxa"/>
              <w:bottom w:w="70" w:type="dxa"/>
              <w:end w:w="80" w:type="dxa"/>
            </w:tcMar>
            <w:vAlign w:val="center"/>
          </w:tcPr>
          <w:p>
            <w:pPr>
              <w:spacing w:after="0" w:line="240" w:lineRule="auto"/>
            </w:pPr>
            <w:r>
              <w:rPr>
                <w:rFonts w:ascii="Arial" w:hAnsi="Arial"/>
                <w:color w:val="141414"/>
                <w:sz w:val="15"/>
              </w:rPr>
              <w:t>1.0</w:t>
            </w:r>
          </w:p>
        </w:tc>
      </w:tr>
      <w:tr>
        <w:trPr>
          <w:cantSplit/>
        </w:trPr>
        <w:tc>
          <w:tcPr>
            <w:tcW w:type="dxa" w:w="1440"/>
            <w:tcMar>
              <w:top w:w="70" w:type="dxa"/>
              <w:start w:w="80" w:type="dxa"/>
              <w:bottom w:w="70" w:type="dxa"/>
              <w:end w:w="80" w:type="dxa"/>
            </w:tcMar>
            <w:vAlign w:val="center"/>
            <w:shd w:fill="F7F7F7"/>
          </w:tcPr>
          <w:p>
            <w:pPr>
              <w:spacing w:after="0" w:line="240" w:lineRule="auto"/>
            </w:pPr>
            <w:r>
              <w:rPr>
                <w:rFonts w:ascii="Arial" w:hAnsi="Arial"/>
                <w:color w:val="141414"/>
                <w:sz w:val="15"/>
              </w:rPr>
              <w:t>RouteX</w:t>
            </w:r>
          </w:p>
        </w:tc>
        <w:tc>
          <w:tcPr>
            <w:tcW w:type="dxa" w:w="1584"/>
            <w:tcMar>
              <w:top w:w="70" w:type="dxa"/>
              <w:start w:w="80" w:type="dxa"/>
              <w:bottom w:w="70" w:type="dxa"/>
              <w:end w:w="80" w:type="dxa"/>
            </w:tcMar>
            <w:vAlign w:val="center"/>
            <w:shd w:fill="F7F7F7"/>
          </w:tcPr>
          <w:p>
            <w:pPr>
              <w:spacing w:after="0" w:line="240" w:lineRule="auto"/>
            </w:pPr>
            <w:r>
              <w:rPr>
                <w:rFonts w:ascii="Arial" w:hAnsi="Arial"/>
                <w:color w:val="141414"/>
                <w:sz w:val="15"/>
              </w:rPr>
              <w:t>October 12, 2026</w:t>
            </w:r>
          </w:p>
        </w:tc>
        <w:tc>
          <w:tcPr>
            <w:tcW w:type="dxa" w:w="5184"/>
            <w:tcMar>
              <w:top w:w="70" w:type="dxa"/>
              <w:start w:w="80" w:type="dxa"/>
              <w:bottom w:w="70" w:type="dxa"/>
              <w:end w:w="80" w:type="dxa"/>
            </w:tcMar>
            <w:vAlign w:val="center"/>
            <w:shd w:fill="F7F7F7"/>
          </w:tcPr>
          <w:p>
            <w:pPr>
              <w:spacing w:after="0" w:line="240" w:lineRule="auto"/>
            </w:pPr>
            <w:r>
              <w:rPr>
                <w:rFonts w:ascii="Arial" w:hAnsi="Arial"/>
                <w:color w:val="141414"/>
                <w:sz w:val="15"/>
              </w:rPr>
              <w:t>Working revision reflecting clarified workflow and requirements</w:t>
            </w:r>
          </w:p>
        </w:tc>
        <w:tc>
          <w:tcPr>
            <w:tcW w:type="dxa" w:w="1440"/>
            <w:tcMar>
              <w:top w:w="70" w:type="dxa"/>
              <w:start w:w="80" w:type="dxa"/>
              <w:bottom w:w="70" w:type="dxa"/>
              <w:end w:w="80" w:type="dxa"/>
            </w:tcMar>
            <w:vAlign w:val="center"/>
            <w:shd w:fill="F7F7F7"/>
          </w:tcPr>
          <w:p>
            <w:pPr>
              <w:spacing w:after="0" w:line="240" w:lineRule="auto"/>
            </w:pPr>
            <w:r>
              <w:rPr>
                <w:rFonts w:ascii="Arial" w:hAnsi="Arial"/>
                <w:color w:val="141414"/>
                <w:sz w:val="15"/>
              </w:rPr>
              <w:t>1.1</w:t>
            </w:r>
          </w:p>
        </w:tc>
      </w:tr>
      <w:tr>
        <w:trPr>
          <w:cantSplit/>
        </w:trPr>
        <w:tc>
          <w:tcPr>
            <w:tcW w:type="dxa" w:w="1440"/>
            <w:tcMar>
              <w:top w:w="70" w:type="dxa"/>
              <w:start w:w="80" w:type="dxa"/>
              <w:bottom w:w="70" w:type="dxa"/>
              <w:end w:w="80" w:type="dxa"/>
            </w:tcMar>
            <w:vAlign w:val="center"/>
          </w:tcPr>
          <w:p>
            <w:pPr>
              <w:spacing w:after="0" w:line="240" w:lineRule="auto"/>
            </w:pPr>
            <w:r>
              <w:rPr>
                <w:rFonts w:ascii="Arial" w:hAnsi="Arial"/>
                <w:color w:val="141414"/>
                <w:sz w:val="15"/>
              </w:rPr>
              <w:t>RouteX</w:t>
            </w:r>
          </w:p>
        </w:tc>
        <w:tc>
          <w:tcPr>
            <w:tcW w:type="dxa" w:w="1584"/>
            <w:tcMar>
              <w:top w:w="70" w:type="dxa"/>
              <w:start w:w="80" w:type="dxa"/>
              <w:bottom w:w="70" w:type="dxa"/>
              <w:end w:w="80" w:type="dxa"/>
            </w:tcMar>
            <w:vAlign w:val="center"/>
          </w:tcPr>
          <w:p>
            <w:pPr>
              <w:spacing w:after="0" w:line="240" w:lineRule="auto"/>
            </w:pPr>
            <w:r>
              <w:rPr>
                <w:rFonts w:ascii="Arial" w:hAnsi="Arial"/>
                <w:color w:val="141414"/>
                <w:sz w:val="15"/>
              </w:rPr>
              <w:t>October 17, 2026</w:t>
            </w:r>
          </w:p>
        </w:tc>
        <w:tc>
          <w:tcPr>
            <w:tcW w:type="dxa" w:w="5184"/>
            <w:tcMar>
              <w:top w:w="70" w:type="dxa"/>
              <w:start w:w="80" w:type="dxa"/>
              <w:bottom w:w="70" w:type="dxa"/>
              <w:end w:w="80" w:type="dxa"/>
            </w:tcMar>
            <w:vAlign w:val="center"/>
          </w:tcPr>
          <w:p>
            <w:pPr>
              <w:spacing w:after="0" w:line="240" w:lineRule="auto"/>
            </w:pPr>
            <w:r>
              <w:rPr>
                <w:rFonts w:ascii="Arial" w:hAnsi="Arial"/>
                <w:color w:val="141414"/>
                <w:sz w:val="15"/>
              </w:rPr>
              <w:t>Cross-checked against Project Plan, Technical Documentation, LOA and prototype evidence; restored original PDF section structure; reconciled outdated or unsupported statements</w:t>
            </w:r>
          </w:p>
        </w:tc>
        <w:tc>
          <w:tcPr>
            <w:tcW w:type="dxa" w:w="1440"/>
            <w:tcMar>
              <w:top w:w="70" w:type="dxa"/>
              <w:start w:w="80" w:type="dxa"/>
              <w:bottom w:w="70" w:type="dxa"/>
              <w:end w:w="80" w:type="dxa"/>
            </w:tcMar>
            <w:vAlign w:val="center"/>
          </w:tcPr>
          <w:p>
            <w:pPr>
              <w:spacing w:after="0" w:line="240" w:lineRule="auto"/>
            </w:pPr>
            <w:r>
              <w:rPr>
                <w:rFonts w:ascii="Arial" w:hAnsi="Arial"/>
                <w:color w:val="141414"/>
                <w:sz w:val="15"/>
              </w:rPr>
              <w:t>1.2 working draft</w:t>
            </w:r>
          </w:p>
        </w:tc>
      </w:tr>
      <w:tr>
        <w:tc>
          <w:tcPr>
            <w:tcW w:type="dxa" w:w="2498"/>
          </w:tcPr>
          <w:p>
            <w:r>
              <w:t>RouteX</w:t>
            </w:r>
          </w:p>
        </w:tc>
        <w:tc>
          <w:tcPr>
            <w:tcW w:type="dxa" w:w="2498"/>
          </w:tcPr>
          <w:p>
            <w:r>
              <w:t>October 17, 2026</w:t>
            </w:r>
          </w:p>
        </w:tc>
        <w:tc>
          <w:tcPr>
            <w:tcW w:type="dxa" w:w="2498"/>
          </w:tcPr>
          <w:p>
            <w:r>
              <w:t>Rebalanced functional requirement priorities; other requirement content retained</w:t>
            </w:r>
          </w:p>
        </w:tc>
        <w:tc>
          <w:tcPr>
            <w:tcW w:type="dxa" w:w="2498"/>
          </w:tcPr>
          <w:p>
            <w:r>
              <w:t>1.3 priority revision</w:t>
            </w:r>
          </w:p>
        </w:tc>
      </w:tr>
    </w:tbl>
    <w:p>
      <w:pPr>
        <w:spacing w:after="20"/>
      </w:pPr>
    </w:p>
    <w:p>
      <w:r>
        <w:br w:type="page"/>
      </w:r>
    </w:p>
    <w:p>
      <w:pPr>
        <w:pStyle w:val="Heading1"/>
      </w:pPr>
      <w:r>
        <w:t>1. Introduction</w:t>
      </w:r>
    </w:p>
    <w:p>
      <w:pPr>
        <w:pStyle w:val="Heading2"/>
      </w:pPr>
      <w:r>
        <w:t>1.1. Document Conventions</w:t>
      </w:r>
    </w:p>
    <w:p>
      <w:r>
        <w:rPr>
          <w:i w:val="0"/>
        </w:rPr>
        <w:t>This Software Requirements Specification (SRS) organizes the intended requirements for RouteX using the section order of the original RouteX_SRS.pdf. Statements distinguish required behavior from recommendations and unresolved decisions. Requirements describe the intended scope; they do not by themselves prove that a feature is already implemented.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E7E7E7"/>
            <w:tcMar>
              <w:top w:w="70" w:type="dxa"/>
              <w:start w:w="80" w:type="dxa"/>
              <w:bottom w:w="70" w:type="dxa"/>
              <w:end w:w="80" w:type="dxa"/>
            </w:tcMar>
            <w:vAlign w:val="center"/>
          </w:tcPr>
          <w:p>
            <w:pPr>
              <w:spacing w:after="0"/>
            </w:pPr>
            <w:r>
              <w:rPr>
                <w:rFonts w:ascii="Arial" w:hAnsi="Arial"/>
                <w:b/>
                <w:color w:val="000000"/>
                <w:sz w:val="16"/>
              </w:rPr>
              <w:t>Convention</w:t>
            </w:r>
          </w:p>
        </w:tc>
        <w:tc>
          <w:tcPr>
            <w:tcW w:type="dxa" w:w="8208"/>
            <w:shd w:fill="E7E7E7"/>
            <w:tcMar>
              <w:top w:w="70" w:type="dxa"/>
              <w:start w:w="80" w:type="dxa"/>
              <w:bottom w:w="70" w:type="dxa"/>
              <w:end w:w="80" w:type="dxa"/>
            </w:tcMar>
            <w:vAlign w:val="center"/>
          </w:tcPr>
          <w:p>
            <w:pPr>
              <w:spacing w:after="0"/>
            </w:pPr>
            <w:r>
              <w:rPr>
                <w:rFonts w:ascii="Arial" w:hAnsi="Arial"/>
                <w:b/>
                <w:color w:val="000000"/>
                <w:sz w:val="16"/>
              </w:rPr>
              <w:t>Description</w:t>
            </w:r>
          </w:p>
        </w:tc>
      </w:tr>
      <w:tr>
        <w:trPr>
          <w:cantSplit/>
        </w:trPr>
        <w:tc>
          <w:tcPr>
            <w:tcW w:type="dxa" w:w="1800"/>
            <w:tcMar>
              <w:top w:w="70" w:type="dxa"/>
              <w:start w:w="80" w:type="dxa"/>
              <w:bottom w:w="70" w:type="dxa"/>
              <w:end w:w="80" w:type="dxa"/>
            </w:tcMar>
            <w:vAlign w:val="center"/>
          </w:tcPr>
          <w:p>
            <w:pPr>
              <w:spacing w:after="0" w:line="240" w:lineRule="auto"/>
            </w:pPr>
            <w:r>
              <w:rPr>
                <w:rFonts w:ascii="Arial" w:hAnsi="Arial"/>
                <w:color w:val="141414"/>
                <w:sz w:val="16"/>
              </w:rPr>
              <w:t>RouteX</w:t>
            </w:r>
          </w:p>
        </w:tc>
        <w:tc>
          <w:tcPr>
            <w:tcW w:type="dxa" w:w="8208"/>
            <w:tcMar>
              <w:top w:w="70" w:type="dxa"/>
              <w:start w:w="80" w:type="dxa"/>
              <w:bottom w:w="70" w:type="dxa"/>
              <w:end w:w="80" w:type="dxa"/>
            </w:tcMar>
            <w:vAlign w:val="center"/>
          </w:tcPr>
          <w:p>
            <w:pPr>
              <w:spacing w:after="0" w:line="240" w:lineRule="auto"/>
            </w:pPr>
            <w:r>
              <w:rPr>
                <w:rFonts w:ascii="Arial" w:hAnsi="Arial"/>
                <w:color w:val="141414"/>
                <w:sz w:val="16"/>
              </w:rPr>
              <w:t>The proposed internal web application for Redeemed Route Logistics Inc. described in this SRS.</w:t>
            </w:r>
          </w:p>
        </w:tc>
      </w:tr>
      <w:tr>
        <w:trPr>
          <w:cantSplit/>
        </w:trPr>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6"/>
              </w:rPr>
              <w:t>SRS</w:t>
            </w:r>
          </w:p>
        </w:tc>
        <w:tc>
          <w:tcPr>
            <w:tcW w:type="dxa" w:w="8208"/>
            <w:tcMar>
              <w:top w:w="70" w:type="dxa"/>
              <w:start w:w="80" w:type="dxa"/>
              <w:bottom w:w="70" w:type="dxa"/>
              <w:end w:w="80" w:type="dxa"/>
            </w:tcMar>
            <w:vAlign w:val="center"/>
            <w:shd w:fill="F7F7F7"/>
          </w:tcPr>
          <w:p>
            <w:pPr>
              <w:spacing w:after="0" w:line="240" w:lineRule="auto"/>
            </w:pPr>
            <w:r>
              <w:rPr>
                <w:rFonts w:ascii="Arial" w:hAnsi="Arial"/>
                <w:color w:val="141414"/>
                <w:sz w:val="16"/>
              </w:rPr>
              <w:t>Software Requirements Specification.</w:t>
            </w:r>
          </w:p>
        </w:tc>
      </w:tr>
      <w:tr>
        <w:trPr>
          <w:cantSplit/>
        </w:trPr>
        <w:tc>
          <w:tcPr>
            <w:tcW w:type="dxa" w:w="1800"/>
            <w:tcMar>
              <w:top w:w="70" w:type="dxa"/>
              <w:start w:w="80" w:type="dxa"/>
              <w:bottom w:w="70" w:type="dxa"/>
              <w:end w:w="80" w:type="dxa"/>
            </w:tcMar>
            <w:vAlign w:val="center"/>
          </w:tcPr>
          <w:p>
            <w:pPr>
              <w:spacing w:after="0" w:line="240" w:lineRule="auto"/>
            </w:pPr>
            <w:r>
              <w:rPr>
                <w:rFonts w:ascii="Arial" w:hAnsi="Arial"/>
                <w:color w:val="141414"/>
                <w:sz w:val="16"/>
              </w:rPr>
              <w:t>POD</w:t>
            </w:r>
          </w:p>
        </w:tc>
        <w:tc>
          <w:tcPr>
            <w:tcW w:type="dxa" w:w="8208"/>
            <w:tcMar>
              <w:top w:w="70" w:type="dxa"/>
              <w:start w:w="80" w:type="dxa"/>
              <w:bottom w:w="70" w:type="dxa"/>
              <w:end w:w="80" w:type="dxa"/>
            </w:tcMar>
            <w:vAlign w:val="center"/>
          </w:tcPr>
          <w:p>
            <w:pPr>
              <w:spacing w:after="0" w:line="240" w:lineRule="auto"/>
            </w:pPr>
            <w:r>
              <w:rPr>
                <w:rFonts w:ascii="Arial" w:hAnsi="Arial"/>
                <w:color w:val="141414"/>
                <w:sz w:val="16"/>
              </w:rPr>
              <w:t>Proof of Delivery document associated with a delivery record.</w:t>
            </w:r>
          </w:p>
        </w:tc>
      </w:tr>
      <w:tr>
        <w:trPr>
          <w:cantSplit/>
        </w:trPr>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6"/>
              </w:rPr>
              <w:t>RBAC</w:t>
            </w:r>
          </w:p>
        </w:tc>
        <w:tc>
          <w:tcPr>
            <w:tcW w:type="dxa" w:w="8208"/>
            <w:tcMar>
              <w:top w:w="70" w:type="dxa"/>
              <w:start w:w="80" w:type="dxa"/>
              <w:bottom w:w="70" w:type="dxa"/>
              <w:end w:w="80" w:type="dxa"/>
            </w:tcMar>
            <w:vAlign w:val="center"/>
            <w:shd w:fill="F7F7F7"/>
          </w:tcPr>
          <w:p>
            <w:pPr>
              <w:spacing w:after="0" w:line="240" w:lineRule="auto"/>
            </w:pPr>
            <w:r>
              <w:rPr>
                <w:rFonts w:ascii="Arial" w:hAnsi="Arial"/>
                <w:color w:val="141414"/>
                <w:sz w:val="16"/>
              </w:rPr>
              <w:t>Role-Based Access Control; access is granted according to approved roles and permissions.</w:t>
            </w:r>
          </w:p>
        </w:tc>
      </w:tr>
      <w:tr>
        <w:trPr>
          <w:cantSplit/>
        </w:trPr>
        <w:tc>
          <w:tcPr>
            <w:tcW w:type="dxa" w:w="1800"/>
            <w:tcMar>
              <w:top w:w="70" w:type="dxa"/>
              <w:start w:w="80" w:type="dxa"/>
              <w:bottom w:w="70" w:type="dxa"/>
              <w:end w:w="80" w:type="dxa"/>
            </w:tcMar>
            <w:vAlign w:val="center"/>
          </w:tcPr>
          <w:p>
            <w:pPr>
              <w:spacing w:after="0" w:line="240" w:lineRule="auto"/>
            </w:pPr>
            <w:r>
              <w:rPr>
                <w:rFonts w:ascii="Arial" w:hAnsi="Arial"/>
                <w:color w:val="141414"/>
                <w:sz w:val="16"/>
              </w:rPr>
              <w:t>Shall</w:t>
            </w:r>
          </w:p>
        </w:tc>
        <w:tc>
          <w:tcPr>
            <w:tcW w:type="dxa" w:w="8208"/>
            <w:tcMar>
              <w:top w:w="70" w:type="dxa"/>
              <w:start w:w="80" w:type="dxa"/>
              <w:bottom w:w="70" w:type="dxa"/>
              <w:end w:w="80" w:type="dxa"/>
            </w:tcMar>
            <w:vAlign w:val="center"/>
          </w:tcPr>
          <w:p>
            <w:pPr>
              <w:spacing w:after="0" w:line="240" w:lineRule="auto"/>
            </w:pPr>
            <w:r>
              <w:rPr>
                <w:rFonts w:ascii="Arial" w:hAnsi="Arial"/>
                <w:color w:val="141414"/>
                <w:sz w:val="16"/>
              </w:rPr>
              <w:t>Required system behavior.</w:t>
            </w:r>
          </w:p>
        </w:tc>
      </w:tr>
      <w:tr>
        <w:trPr>
          <w:cantSplit/>
        </w:trPr>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6"/>
              </w:rPr>
              <w:t>Should</w:t>
            </w:r>
          </w:p>
        </w:tc>
        <w:tc>
          <w:tcPr>
            <w:tcW w:type="dxa" w:w="8208"/>
            <w:tcMar>
              <w:top w:w="70" w:type="dxa"/>
              <w:start w:w="80" w:type="dxa"/>
              <w:bottom w:w="70" w:type="dxa"/>
              <w:end w:w="80" w:type="dxa"/>
            </w:tcMar>
            <w:vAlign w:val="center"/>
            <w:shd w:fill="F7F7F7"/>
          </w:tcPr>
          <w:p>
            <w:pPr>
              <w:spacing w:after="0" w:line="240" w:lineRule="auto"/>
            </w:pPr>
            <w:r>
              <w:rPr>
                <w:rFonts w:ascii="Arial" w:hAnsi="Arial"/>
                <w:color w:val="141414"/>
                <w:sz w:val="16"/>
              </w:rPr>
              <w:t>Recommended behavior that remains subject to project prioritization.</w:t>
            </w:r>
          </w:p>
        </w:tc>
      </w:tr>
      <w:tr>
        <w:trPr>
          <w:cantSplit/>
        </w:trPr>
        <w:tc>
          <w:tcPr>
            <w:tcW w:type="dxa" w:w="1800"/>
            <w:tcMar>
              <w:top w:w="70" w:type="dxa"/>
              <w:start w:w="80" w:type="dxa"/>
              <w:bottom w:w="70" w:type="dxa"/>
              <w:end w:w="80" w:type="dxa"/>
            </w:tcMar>
            <w:vAlign w:val="center"/>
          </w:tcPr>
          <w:p>
            <w:pPr>
              <w:spacing w:after="0" w:line="240" w:lineRule="auto"/>
            </w:pPr>
            <w:r>
              <w:rPr>
                <w:rFonts w:ascii="Arial" w:hAnsi="Arial"/>
                <w:color w:val="141414"/>
                <w:sz w:val="16"/>
              </w:rPr>
              <w:t>May</w:t>
            </w:r>
          </w:p>
        </w:tc>
        <w:tc>
          <w:tcPr>
            <w:tcW w:type="dxa" w:w="8208"/>
            <w:tcMar>
              <w:top w:w="70" w:type="dxa"/>
              <w:start w:w="80" w:type="dxa"/>
              <w:bottom w:w="70" w:type="dxa"/>
              <w:end w:w="80" w:type="dxa"/>
            </w:tcMar>
            <w:vAlign w:val="center"/>
          </w:tcPr>
          <w:p>
            <w:pPr>
              <w:spacing w:after="0" w:line="240" w:lineRule="auto"/>
            </w:pPr>
            <w:r>
              <w:rPr>
                <w:rFonts w:ascii="Arial" w:hAnsi="Arial"/>
                <w:color w:val="141414"/>
                <w:sz w:val="16"/>
              </w:rPr>
              <w:t>Optional behavior.</w:t>
            </w:r>
          </w:p>
        </w:tc>
      </w:tr>
      <w:tr>
        <w:trPr>
          <w:cantSplit/>
        </w:trPr>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6"/>
              </w:rPr>
              <w:t>REQ</w:t>
            </w:r>
          </w:p>
        </w:tc>
        <w:tc>
          <w:tcPr>
            <w:tcW w:type="dxa" w:w="8208"/>
            <w:tcMar>
              <w:top w:w="70" w:type="dxa"/>
              <w:start w:w="80" w:type="dxa"/>
              <w:bottom w:w="70" w:type="dxa"/>
              <w:end w:w="80" w:type="dxa"/>
            </w:tcMar>
            <w:vAlign w:val="center"/>
            <w:shd w:fill="F7F7F7"/>
          </w:tcPr>
          <w:p>
            <w:pPr>
              <w:spacing w:after="0" w:line="240" w:lineRule="auto"/>
            </w:pPr>
            <w:r>
              <w:rPr>
                <w:rFonts w:ascii="Arial" w:hAnsi="Arial"/>
                <w:color w:val="141414"/>
                <w:sz w:val="16"/>
              </w:rPr>
              <w:t>Functional requirement identifier.</w:t>
            </w:r>
          </w:p>
        </w:tc>
      </w:tr>
      <w:tr>
        <w:trPr>
          <w:cantSplit/>
        </w:trPr>
        <w:tc>
          <w:tcPr>
            <w:tcW w:type="dxa" w:w="1800"/>
            <w:tcMar>
              <w:top w:w="70" w:type="dxa"/>
              <w:start w:w="80" w:type="dxa"/>
              <w:bottom w:w="70" w:type="dxa"/>
              <w:end w:w="80" w:type="dxa"/>
            </w:tcMar>
            <w:vAlign w:val="center"/>
          </w:tcPr>
          <w:p>
            <w:pPr>
              <w:spacing w:after="0" w:line="240" w:lineRule="auto"/>
            </w:pPr>
            <w:r>
              <w:rPr>
                <w:rFonts w:ascii="Arial" w:hAnsi="Arial"/>
                <w:color w:val="141414"/>
                <w:sz w:val="16"/>
              </w:rPr>
              <w:t>NFR</w:t>
            </w:r>
          </w:p>
        </w:tc>
        <w:tc>
          <w:tcPr>
            <w:tcW w:type="dxa" w:w="8208"/>
            <w:tcMar>
              <w:top w:w="70" w:type="dxa"/>
              <w:start w:w="80" w:type="dxa"/>
              <w:bottom w:w="70" w:type="dxa"/>
              <w:end w:w="80" w:type="dxa"/>
            </w:tcMar>
            <w:vAlign w:val="center"/>
          </w:tcPr>
          <w:p>
            <w:pPr>
              <w:spacing w:after="0" w:line="240" w:lineRule="auto"/>
            </w:pPr>
            <w:r>
              <w:rPr>
                <w:rFonts w:ascii="Arial" w:hAnsi="Arial"/>
                <w:color w:val="141414"/>
                <w:sz w:val="16"/>
              </w:rPr>
              <w:t>Nonfunctional requirement identifier.</w:t>
            </w:r>
          </w:p>
        </w:tc>
      </w:tr>
      <w:tr>
        <w:trPr>
          <w:cantSplit/>
        </w:trPr>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6"/>
              </w:rPr>
              <w:t>TBD</w:t>
            </w:r>
          </w:p>
        </w:tc>
        <w:tc>
          <w:tcPr>
            <w:tcW w:type="dxa" w:w="8208"/>
            <w:tcMar>
              <w:top w:w="70" w:type="dxa"/>
              <w:start w:w="80" w:type="dxa"/>
              <w:bottom w:w="70" w:type="dxa"/>
              <w:end w:w="80" w:type="dxa"/>
            </w:tcMar>
            <w:vAlign w:val="center"/>
            <w:shd w:fill="F7F7F7"/>
          </w:tcPr>
          <w:p>
            <w:pPr>
              <w:spacing w:after="0" w:line="240" w:lineRule="auto"/>
            </w:pPr>
            <w:r>
              <w:rPr>
                <w:rFonts w:ascii="Arial" w:hAnsi="Arial"/>
                <w:color w:val="141414"/>
                <w:sz w:val="16"/>
              </w:rPr>
              <w:t>To be determined; the point requires confirmation or an approved rule.</w:t>
            </w:r>
          </w:p>
        </w:tc>
      </w:tr>
    </w:tbl>
    <w:p>
      <w:pPr>
        <w:spacing w:after="20"/>
      </w:pPr>
    </w:p>
    <w:p>
      <w:r>
        <w:rPr>
          <w:i w:val="0"/>
        </w:rPr>
        <w:t>Requirement IDs are intended to remain unique and traceable to tests. “Approved” means explicitly confirmed by the client or authorized project decision-maker, not simply present in an earlier draft or prototype.</w:t>
      </w:r>
    </w:p>
    <w:p>
      <w:pPr>
        <w:pStyle w:val="Heading2"/>
      </w:pPr>
      <w:r>
        <w:t>1.2. Purpose</w:t>
      </w:r>
    </w:p>
    <w:p>
      <w:r>
        <w:rPr>
          <w:i w:val="0"/>
        </w:rPr>
        <w:t>This SRS defines the current proposed functional and nonfunctional requirements for RouteX: A Truck Profitability and Delivery Operations Management System. RouteX is intended to centralize completed-delivery records and related financial information so authorized personnel can retrieve records and review delivery-, truck-, and company-level performance.</w:t>
      </w:r>
    </w:p>
    <w:p>
      <w:r>
        <w:rPr>
          <w:i w:val="0"/>
        </w:rPr>
        <w:t>The source documents describe a partially automated internal system. Staff enter operational and financial source information; the application validates, stores, retrieves, aggregates, and calculates from the recorded data. RouteX is not intended to be a live dispatch or GPS-tracking platform.</w:t>
      </w:r>
    </w:p>
    <w:p>
      <w:pPr>
        <w:pStyle w:val="Heading2"/>
      </w:pPr>
      <w:r>
        <w:t>1.3. Project Scope</w:t>
      </w:r>
    </w:p>
    <w:p>
      <w:pPr>
        <w:pStyle w:val="Heading3"/>
      </w:pPr>
      <w:r>
        <w:t>1.3.1. Scope</w:t>
      </w:r>
    </w:p>
    <w:p>
      <w:r>
        <w:rPr>
          <w:i w:val="0"/>
        </w:rPr>
        <w:t>The reconciled target scope described by the October 2026 Project Plan, Technical Documentation, SRS working revision, and LOA includes the following capabilities. They remain requirements, not claims of completed implementation.</w:t>
      </w:r>
    </w:p>
    <w:p>
      <w:pPr>
        <w:pStyle w:val="ListBullet"/>
      </w:pPr>
      <w:r>
        <w:t>Completed delivery transactions recorded by Operations after the real-world delivery has been completed, including the client, truck, driver/helper assignments, route or delivery locations, date and relevant timestamps, revenue/approved charges, delivery-attributable expenses, remarks, and POD linkage.</w:t>
      </w:r>
    </w:p>
    <w:p>
      <w:pPr>
        <w:pStyle w:val="ListBullet"/>
      </w:pPr>
      <w:r>
        <w:t>Fleet and reference records needed for delivery operations, including owned/subcontracted trucks, plate number, truck type, status, clients, employees/crew, and relationships among those records.</w:t>
      </w:r>
    </w:p>
    <w:p>
      <w:pPr>
        <w:pStyle w:val="ListBullet"/>
      </w:pPr>
      <w:r>
        <w:t>Delivery financial entries and derived delivery-level results using a client-approved formula. Derived results must not be directly editable as source amounts.</w:t>
      </w:r>
    </w:p>
    <w:p>
      <w:pPr>
        <w:pStyle w:val="ListBullet"/>
      </w:pPr>
      <w:r>
        <w:t>POD upload, retrieval, and viewing linked to the correct delivery record and protected by permissions.</w:t>
      </w:r>
    </w:p>
    <w:p>
      <w:pPr>
        <w:pStyle w:val="ListBullet"/>
      </w:pPr>
      <w:r>
        <w:t>Finance-managed company operating expenses that are not directly attributable to a specific delivery, kept distinct from delivery expenses.</w:t>
      </w:r>
    </w:p>
    <w:p>
      <w:pPr>
        <w:pStyle w:val="ListBullet"/>
      </w:pPr>
      <w:r>
        <w:t>HR-maintained compensation amounts payable or period summaries for staff, drivers, and helpers. This is not an assumption of a complete payroll-processing engine.</w:t>
      </w:r>
    </w:p>
    <w:p>
      <w:pPr>
        <w:pStyle w:val="ListBullet"/>
      </w:pPr>
      <w:r>
        <w:t>Search and date-range filtering across supported delivery, truck, client, employee/crew, and transaction records. The selected reporting period should remain visible in relevant views and exports.</w:t>
      </w:r>
    </w:p>
    <w:p>
      <w:pPr>
        <w:pStyle w:val="ListBullet"/>
      </w:pPr>
      <w:r>
        <w:t>Truck profiles/history and delivery-, truck-, and company-level financial review under explicitly approved inclusion rules.</w:t>
      </w:r>
    </w:p>
    <w:p>
      <w:pPr>
        <w:pStyle w:val="ListBullet"/>
      </w:pPr>
      <w:r>
        <w:t>Operational and financial reports, supported print/export functions, dashboards, authentication, role-based authorization, account administration, activity logs, and audit history.</w:t>
      </w:r>
    </w:p>
    <w:p>
      <w:r>
        <w:rPr>
          <w:i w:val="0"/>
        </w:rPr>
        <w:t>The intended differentiator is traceability from a company-level result to a truck, then to the deliveries and underlying financial records that contribute to that result. This must not cause an expense to be counted more than once.</w:t>
      </w:r>
    </w:p>
    <w:p>
      <w:pPr>
        <w:pStyle w:val="Heading3"/>
      </w:pPr>
      <w:r>
        <w:t>1.3.2. Limitations</w:t>
      </w:r>
    </w:p>
    <w:p>
      <w:pPr>
        <w:pStyle w:val="ListBullet"/>
      </w:pPr>
      <w:r>
        <w:t>No automatic real-time GPS tracking, live-location maps, telematics, or tracking-device integration.</w:t>
      </w:r>
    </w:p>
    <w:p>
      <w:pPr>
        <w:pStyle w:val="ListBullet"/>
      </w:pPr>
      <w:r>
        <w:t>No automatic dispatching, route optimization, customer portal, customer-facing booking, or customer-facing delivery tracking.</w:t>
      </w:r>
    </w:p>
    <w:p>
      <w:pPr>
        <w:pStyle w:val="ListBullet"/>
      </w:pPr>
      <w:r>
        <w:t>No full accounting replacement, BIR filing, statutory-reporting automation, end-to-end payroll engine, attendance management, payslips, or automatic bank payments unless separately approved in writing.</w:t>
      </w:r>
    </w:p>
    <w:p>
      <w:pPr>
        <w:pStyle w:val="ListBullet"/>
      </w:pPr>
      <w:r>
        <w:t>No automatic import from third-party platforms or other external business integrations under the current documented scope.</w:t>
      </w:r>
    </w:p>
    <w:p>
      <w:pPr>
        <w:pStyle w:val="ListBullet"/>
      </w:pPr>
      <w:r>
        <w:t>No automatic allocation of company overhead to individual truck margins unless the client approves an allocation method.</w:t>
      </w:r>
    </w:p>
    <w:p>
      <w:pPr>
        <w:pStyle w:val="ListBullet"/>
      </w:pPr>
      <w:r>
        <w:t>Accuracy and completeness of results depend on data entered and on financial classifications/formulas approved by the client.</w:t>
      </w:r>
    </w:p>
    <w:p>
      <w:pPr>
        <w:pStyle w:val="ListBullet"/>
      </w:pPr>
      <w:r>
        <w:t>Only features in the approved requirements and change record are included. Proposed improvements, including a missing-POD/data-completeness cue, require scope confirmation if not already accepted.</w:t>
      </w:r>
    </w:p>
    <w:p>
      <w:pPr>
        <w:pStyle w:val="Heading2"/>
      </w:pPr>
      <w:r>
        <w:t>1.4. Product Perspective</w:t>
      </w:r>
    </w:p>
    <w:p>
      <w:r>
        <w:rPr>
          <w:i w:val="0"/>
        </w:rPr>
        <w:t>The project documents describe current work as spread across spreadsheets, paper records, basic bookkeeping, and communication channels. RouteX is intended to provide a centralized, browser-based tool for post-delivery recordkeeping, retrieval, documentation, and profitability review. It does not resolve dispatch coordination, delayed collections, or vehicle breakdowns on its own.</w:t>
      </w:r>
    </w:p>
    <w:p>
      <w:r>
        <w:rPr>
          <w:i w:val="0"/>
        </w:rPr>
        <w:t>The latest available product prototype, RtX_-prototype-z(4).html, is a static interactive UI prototype. Its navigation includes Dashboard, Deliveries, Fleet, Transactions, Reports, and Administration, with Settings controls and shared search/date filters. It displays mock records and sample calculations. It does not establish production database, authentication, permissions, HR compensation, or deployment status. Therefore, the broader HR and company-level profitability scope in the October project documents is retained as target scope but flagged for confirmation against the current build.</w:t>
      </w:r>
    </w:p>
    <w:p>
      <w:pPr>
        <w:pStyle w:val="Heading2"/>
      </w:pPr>
      <w:r>
        <w:t>1.5. Product Functions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04"/>
            <w:shd w:fill="E7E7E7"/>
            <w:tcMar>
              <w:top w:w="70" w:type="dxa"/>
              <w:start w:w="80" w:type="dxa"/>
              <w:bottom w:w="70" w:type="dxa"/>
              <w:end w:w="80" w:type="dxa"/>
            </w:tcMar>
            <w:vAlign w:val="center"/>
          </w:tcPr>
          <w:p>
            <w:pPr>
              <w:spacing w:after="0"/>
            </w:pPr>
            <w:r>
              <w:rPr>
                <w:rFonts w:ascii="Arial" w:hAnsi="Arial"/>
                <w:b/>
                <w:color w:val="000000"/>
                <w:sz w:val="16"/>
              </w:rPr>
              <w:t>Function area</w:t>
            </w:r>
          </w:p>
        </w:tc>
        <w:tc>
          <w:tcPr>
            <w:tcW w:type="dxa" w:w="7704"/>
            <w:shd w:fill="E7E7E7"/>
            <w:tcMar>
              <w:top w:w="70" w:type="dxa"/>
              <w:start w:w="80" w:type="dxa"/>
              <w:bottom w:w="70" w:type="dxa"/>
              <w:end w:w="80" w:type="dxa"/>
            </w:tcMar>
            <w:vAlign w:val="center"/>
          </w:tcPr>
          <w:p>
            <w:pPr>
              <w:spacing w:after="0"/>
            </w:pPr>
            <w:r>
              <w:rPr>
                <w:rFonts w:ascii="Arial" w:hAnsi="Arial"/>
                <w:b/>
                <w:color w:val="000000"/>
                <w:sz w:val="16"/>
              </w:rPr>
              <w:t>Expected function</w:t>
            </w:r>
          </w:p>
        </w:tc>
      </w:tr>
      <w:tr>
        <w:trPr>
          <w:cantSplit/>
        </w:trPr>
        <w:tc>
          <w:tcPr>
            <w:tcW w:type="dxa" w:w="2304"/>
            <w:tcMar>
              <w:top w:w="70" w:type="dxa"/>
              <w:start w:w="80" w:type="dxa"/>
              <w:bottom w:w="70" w:type="dxa"/>
              <w:end w:w="80" w:type="dxa"/>
            </w:tcMar>
            <w:vAlign w:val="center"/>
          </w:tcPr>
          <w:p>
            <w:pPr>
              <w:spacing w:after="0" w:line="240" w:lineRule="auto"/>
            </w:pPr>
            <w:r>
              <w:rPr>
                <w:rFonts w:ascii="Arial" w:hAnsi="Arial"/>
                <w:color w:val="141414"/>
                <w:sz w:val="16"/>
              </w:rPr>
              <w:t>Dashboard</w:t>
            </w:r>
          </w:p>
        </w:tc>
        <w:tc>
          <w:tcPr>
            <w:tcW w:type="dxa" w:w="7704"/>
            <w:tcMar>
              <w:top w:w="70" w:type="dxa"/>
              <w:start w:w="80" w:type="dxa"/>
              <w:bottom w:w="70" w:type="dxa"/>
              <w:end w:w="80" w:type="dxa"/>
            </w:tcMar>
            <w:vAlign w:val="center"/>
          </w:tcPr>
          <w:p>
            <w:pPr>
              <w:spacing w:after="0" w:line="240" w:lineRule="auto"/>
            </w:pPr>
            <w:r>
              <w:rPr>
                <w:rFonts w:ascii="Arial" w:hAnsi="Arial"/>
                <w:color w:val="141414"/>
                <w:sz w:val="16"/>
              </w:rPr>
              <w:t>Summarize operational and financial records for the selected period; exact cards and metrics require validation against the implemented dashboard.</w:t>
            </w:r>
          </w:p>
        </w:tc>
      </w:tr>
      <w:tr>
        <w:trPr>
          <w:cantSplit/>
        </w:trPr>
        <w:tc>
          <w:tcPr>
            <w:tcW w:type="dxa" w:w="2304"/>
            <w:tcMar>
              <w:top w:w="70" w:type="dxa"/>
              <w:start w:w="80" w:type="dxa"/>
              <w:bottom w:w="70" w:type="dxa"/>
              <w:end w:w="80" w:type="dxa"/>
            </w:tcMar>
            <w:vAlign w:val="center"/>
            <w:shd w:fill="F7F7F7"/>
          </w:tcPr>
          <w:p>
            <w:pPr>
              <w:spacing w:after="0" w:line="240" w:lineRule="auto"/>
            </w:pPr>
            <w:r>
              <w:rPr>
                <w:rFonts w:ascii="Arial" w:hAnsi="Arial"/>
                <w:color w:val="141414"/>
                <w:sz w:val="16"/>
              </w:rPr>
              <w:t>Delivery Management</w:t>
            </w:r>
          </w:p>
        </w:tc>
        <w:tc>
          <w:tcPr>
            <w:tcW w:type="dxa" w:w="7704"/>
            <w:tcMar>
              <w:top w:w="70" w:type="dxa"/>
              <w:start w:w="80" w:type="dxa"/>
              <w:bottom w:w="70" w:type="dxa"/>
              <w:end w:w="80" w:type="dxa"/>
            </w:tcMar>
            <w:vAlign w:val="center"/>
            <w:shd w:fill="F7F7F7"/>
          </w:tcPr>
          <w:p>
            <w:pPr>
              <w:spacing w:after="0" w:line="240" w:lineRule="auto"/>
            </w:pPr>
            <w:r>
              <w:rPr>
                <w:rFonts w:ascii="Arial" w:hAnsi="Arial"/>
                <w:color w:val="141414"/>
                <w:sz w:val="16"/>
              </w:rPr>
              <w:t>Maintain completed delivery records, assignments, timestamps, revenue/charges, delivery costs, remarks, and POD.</w:t>
            </w:r>
          </w:p>
        </w:tc>
      </w:tr>
      <w:tr>
        <w:trPr>
          <w:cantSplit/>
        </w:trPr>
        <w:tc>
          <w:tcPr>
            <w:tcW w:type="dxa" w:w="2304"/>
            <w:tcMar>
              <w:top w:w="70" w:type="dxa"/>
              <w:start w:w="80" w:type="dxa"/>
              <w:bottom w:w="70" w:type="dxa"/>
              <w:end w:w="80" w:type="dxa"/>
            </w:tcMar>
            <w:vAlign w:val="center"/>
          </w:tcPr>
          <w:p>
            <w:pPr>
              <w:spacing w:after="0" w:line="240" w:lineRule="auto"/>
            </w:pPr>
            <w:r>
              <w:rPr>
                <w:rFonts w:ascii="Arial" w:hAnsi="Arial"/>
                <w:color w:val="141414"/>
                <w:sz w:val="16"/>
              </w:rPr>
              <w:t>Fleet Management</w:t>
            </w:r>
          </w:p>
        </w:tc>
        <w:tc>
          <w:tcPr>
            <w:tcW w:type="dxa" w:w="7704"/>
            <w:tcMar>
              <w:top w:w="70" w:type="dxa"/>
              <w:start w:w="80" w:type="dxa"/>
              <w:bottom w:w="70" w:type="dxa"/>
              <w:end w:w="80" w:type="dxa"/>
            </w:tcMar>
            <w:vAlign w:val="center"/>
          </w:tcPr>
          <w:p>
            <w:pPr>
              <w:spacing w:after="0" w:line="240" w:lineRule="auto"/>
            </w:pPr>
            <w:r>
              <w:rPr>
                <w:rFonts w:ascii="Arial" w:hAnsi="Arial"/>
                <w:color w:val="141414"/>
                <w:sz w:val="16"/>
              </w:rPr>
              <w:t>Maintain owned/subcontracted truck records and retrieve truck history for a selected period.</w:t>
            </w:r>
          </w:p>
        </w:tc>
      </w:tr>
      <w:tr>
        <w:trPr>
          <w:cantSplit/>
        </w:trPr>
        <w:tc>
          <w:tcPr>
            <w:tcW w:type="dxa" w:w="2304"/>
            <w:tcMar>
              <w:top w:w="70" w:type="dxa"/>
              <w:start w:w="80" w:type="dxa"/>
              <w:bottom w:w="70" w:type="dxa"/>
              <w:end w:w="80" w:type="dxa"/>
            </w:tcMar>
            <w:vAlign w:val="center"/>
            <w:shd w:fill="F7F7F7"/>
          </w:tcPr>
          <w:p>
            <w:pPr>
              <w:spacing w:after="0" w:line="240" w:lineRule="auto"/>
            </w:pPr>
            <w:r>
              <w:rPr>
                <w:rFonts w:ascii="Arial" w:hAnsi="Arial"/>
                <w:color w:val="141414"/>
                <w:sz w:val="16"/>
              </w:rPr>
              <w:t>Transactions / Company Expenses</w:t>
            </w:r>
          </w:p>
        </w:tc>
        <w:tc>
          <w:tcPr>
            <w:tcW w:type="dxa" w:w="7704"/>
            <w:tcMar>
              <w:top w:w="70" w:type="dxa"/>
              <w:start w:w="80" w:type="dxa"/>
              <w:bottom w:w="70" w:type="dxa"/>
              <w:end w:w="80" w:type="dxa"/>
            </w:tcMar>
            <w:vAlign w:val="center"/>
            <w:shd w:fill="F7F7F7"/>
          </w:tcPr>
          <w:p>
            <w:pPr>
              <w:spacing w:after="0" w:line="240" w:lineRule="auto"/>
            </w:pPr>
            <w:r>
              <w:rPr>
                <w:rFonts w:ascii="Arial" w:hAnsi="Arial"/>
                <w:color w:val="141414"/>
                <w:sz w:val="16"/>
              </w:rPr>
              <w:t>Maintain company operating expenses not assigned to a specific delivery.</w:t>
            </w:r>
          </w:p>
        </w:tc>
      </w:tr>
      <w:tr>
        <w:trPr>
          <w:cantSplit/>
        </w:trPr>
        <w:tc>
          <w:tcPr>
            <w:tcW w:type="dxa" w:w="2304"/>
            <w:tcMar>
              <w:top w:w="70" w:type="dxa"/>
              <w:start w:w="80" w:type="dxa"/>
              <w:bottom w:w="70" w:type="dxa"/>
              <w:end w:w="80" w:type="dxa"/>
            </w:tcMar>
            <w:vAlign w:val="center"/>
          </w:tcPr>
          <w:p>
            <w:pPr>
              <w:spacing w:after="0" w:line="240" w:lineRule="auto"/>
            </w:pPr>
            <w:r>
              <w:rPr>
                <w:rFonts w:ascii="Arial" w:hAnsi="Arial"/>
                <w:color w:val="141414"/>
                <w:sz w:val="16"/>
              </w:rPr>
              <w:t>HR Compensation Summaries</w:t>
            </w:r>
          </w:p>
        </w:tc>
        <w:tc>
          <w:tcPr>
            <w:tcW w:type="dxa" w:w="7704"/>
            <w:tcMar>
              <w:top w:w="70" w:type="dxa"/>
              <w:start w:w="80" w:type="dxa"/>
              <w:bottom w:w="70" w:type="dxa"/>
              <w:end w:w="80" w:type="dxa"/>
            </w:tcMar>
            <w:vAlign w:val="center"/>
          </w:tcPr>
          <w:p>
            <w:pPr>
              <w:spacing w:after="0" w:line="240" w:lineRule="auto"/>
            </w:pPr>
            <w:r>
              <w:rPr>
                <w:rFonts w:ascii="Arial" w:hAnsi="Arial"/>
                <w:color w:val="141414"/>
                <w:sz w:val="16"/>
              </w:rPr>
              <w:t>Record or summarize approved compensation amounts for staff, drivers, and helpers; detailed rules remain TBD.</w:t>
            </w:r>
          </w:p>
        </w:tc>
      </w:tr>
      <w:tr>
        <w:trPr>
          <w:cantSplit/>
        </w:trPr>
        <w:tc>
          <w:tcPr>
            <w:tcW w:type="dxa" w:w="2304"/>
            <w:tcMar>
              <w:top w:w="70" w:type="dxa"/>
              <w:start w:w="80" w:type="dxa"/>
              <w:bottom w:w="70" w:type="dxa"/>
              <w:end w:w="80" w:type="dxa"/>
            </w:tcMar>
            <w:vAlign w:val="center"/>
            <w:shd w:fill="F7F7F7"/>
          </w:tcPr>
          <w:p>
            <w:pPr>
              <w:spacing w:after="0" w:line="240" w:lineRule="auto"/>
            </w:pPr>
            <w:r>
              <w:rPr>
                <w:rFonts w:ascii="Arial" w:hAnsi="Arial"/>
                <w:color w:val="141414"/>
                <w:sz w:val="16"/>
              </w:rPr>
              <w:t>Search and Record Retrieval</w:t>
            </w:r>
          </w:p>
        </w:tc>
        <w:tc>
          <w:tcPr>
            <w:tcW w:type="dxa" w:w="7704"/>
            <w:tcMar>
              <w:top w:w="70" w:type="dxa"/>
              <w:start w:w="80" w:type="dxa"/>
              <w:bottom w:w="70" w:type="dxa"/>
              <w:end w:w="80" w:type="dxa"/>
            </w:tcMar>
            <w:vAlign w:val="center"/>
            <w:shd w:fill="F7F7F7"/>
          </w:tcPr>
          <w:p>
            <w:pPr>
              <w:spacing w:after="0" w:line="240" w:lineRule="auto"/>
            </w:pPr>
            <w:r>
              <w:rPr>
                <w:rFonts w:ascii="Arial" w:hAnsi="Arial"/>
                <w:color w:val="141414"/>
                <w:sz w:val="16"/>
              </w:rPr>
              <w:t>Search records by supported identifiers/text and filter by date range.</w:t>
            </w:r>
          </w:p>
        </w:tc>
      </w:tr>
      <w:tr>
        <w:trPr>
          <w:cantSplit/>
        </w:trPr>
        <w:tc>
          <w:tcPr>
            <w:tcW w:type="dxa" w:w="2304"/>
            <w:tcMar>
              <w:top w:w="70" w:type="dxa"/>
              <w:start w:w="80" w:type="dxa"/>
              <w:bottom w:w="70" w:type="dxa"/>
              <w:end w:w="80" w:type="dxa"/>
            </w:tcMar>
            <w:vAlign w:val="center"/>
          </w:tcPr>
          <w:p>
            <w:pPr>
              <w:spacing w:after="0" w:line="240" w:lineRule="auto"/>
            </w:pPr>
            <w:r>
              <w:rPr>
                <w:rFonts w:ascii="Arial" w:hAnsi="Arial"/>
                <w:color w:val="141414"/>
                <w:sz w:val="16"/>
              </w:rPr>
              <w:t>Profitability Analysis</w:t>
            </w:r>
          </w:p>
        </w:tc>
        <w:tc>
          <w:tcPr>
            <w:tcW w:type="dxa" w:w="7704"/>
            <w:tcMar>
              <w:top w:w="70" w:type="dxa"/>
              <w:start w:w="80" w:type="dxa"/>
              <w:bottom w:w="70" w:type="dxa"/>
              <w:end w:w="80" w:type="dxa"/>
            </w:tcMar>
            <w:vAlign w:val="center"/>
          </w:tcPr>
          <w:p>
            <w:pPr>
              <w:spacing w:after="0" w:line="240" w:lineRule="auto"/>
            </w:pPr>
            <w:r>
              <w:rPr>
                <w:rFonts w:ascii="Arial" w:hAnsi="Arial"/>
                <w:color w:val="141414"/>
                <w:sz w:val="16"/>
              </w:rPr>
              <w:t>Review delivery-, truck-, and company-level results distinctly, with source-record traceability and expense de-duplication.</w:t>
            </w:r>
          </w:p>
        </w:tc>
      </w:tr>
      <w:tr>
        <w:trPr>
          <w:cantSplit/>
        </w:trPr>
        <w:tc>
          <w:tcPr>
            <w:tcW w:type="dxa" w:w="2304"/>
            <w:tcMar>
              <w:top w:w="70" w:type="dxa"/>
              <w:start w:w="80" w:type="dxa"/>
              <w:bottom w:w="70" w:type="dxa"/>
              <w:end w:w="80" w:type="dxa"/>
            </w:tcMar>
            <w:vAlign w:val="center"/>
            <w:shd w:fill="F7F7F7"/>
          </w:tcPr>
          <w:p>
            <w:pPr>
              <w:spacing w:after="0" w:line="240" w:lineRule="auto"/>
            </w:pPr>
            <w:r>
              <w:rPr>
                <w:rFonts w:ascii="Arial" w:hAnsi="Arial"/>
                <w:color w:val="141414"/>
                <w:sz w:val="16"/>
              </w:rPr>
              <w:t>Reports</w:t>
            </w:r>
          </w:p>
        </w:tc>
        <w:tc>
          <w:tcPr>
            <w:tcW w:type="dxa" w:w="7704"/>
            <w:tcMar>
              <w:top w:w="70" w:type="dxa"/>
              <w:start w:w="80" w:type="dxa"/>
              <w:bottom w:w="70" w:type="dxa"/>
              <w:end w:w="80" w:type="dxa"/>
            </w:tcMar>
            <w:vAlign w:val="center"/>
            <w:shd w:fill="F7F7F7"/>
          </w:tcPr>
          <w:p>
            <w:pPr>
              <w:spacing w:after="0" w:line="240" w:lineRule="auto"/>
            </w:pPr>
            <w:r>
              <w:rPr>
                <w:rFonts w:ascii="Arial" w:hAnsi="Arial"/>
                <w:color w:val="141414"/>
                <w:sz w:val="16"/>
              </w:rPr>
              <w:t>Provide agreed operational/financial reports and available print/export formats.</w:t>
            </w:r>
          </w:p>
        </w:tc>
      </w:tr>
      <w:tr>
        <w:trPr>
          <w:cantSplit/>
        </w:trPr>
        <w:tc>
          <w:tcPr>
            <w:tcW w:type="dxa" w:w="2304"/>
            <w:tcMar>
              <w:top w:w="70" w:type="dxa"/>
              <w:start w:w="80" w:type="dxa"/>
              <w:bottom w:w="70" w:type="dxa"/>
              <w:end w:w="80" w:type="dxa"/>
            </w:tcMar>
            <w:vAlign w:val="center"/>
          </w:tcPr>
          <w:p>
            <w:pPr>
              <w:spacing w:after="0" w:line="240" w:lineRule="auto"/>
            </w:pPr>
            <w:r>
              <w:rPr>
                <w:rFonts w:ascii="Arial" w:hAnsi="Arial"/>
                <w:color w:val="141414"/>
                <w:sz w:val="16"/>
              </w:rPr>
              <w:t>Security and Administration</w:t>
            </w:r>
          </w:p>
        </w:tc>
        <w:tc>
          <w:tcPr>
            <w:tcW w:type="dxa" w:w="7704"/>
            <w:tcMar>
              <w:top w:w="70" w:type="dxa"/>
              <w:start w:w="80" w:type="dxa"/>
              <w:bottom w:w="70" w:type="dxa"/>
              <w:end w:w="80" w:type="dxa"/>
            </w:tcMar>
            <w:vAlign w:val="center"/>
          </w:tcPr>
          <w:p>
            <w:pPr>
              <w:spacing w:after="0" w:line="240" w:lineRule="auto"/>
            </w:pPr>
            <w:r>
              <w:rPr>
                <w:rFonts w:ascii="Arial" w:hAnsi="Arial"/>
                <w:color w:val="141414"/>
                <w:sz w:val="16"/>
              </w:rPr>
              <w:t>Authenticate users, enforce approved role permissions, manage accounts and record activity/audit events.</w:t>
            </w:r>
          </w:p>
        </w:tc>
      </w:tr>
    </w:tbl>
    <w:p>
      <w:pPr>
        <w:spacing w:after="20"/>
      </w:pPr>
    </w:p>
    <w:p>
      <w:pPr>
        <w:pStyle w:val="Heading2"/>
      </w:pPr>
      <w:r>
        <w:t>1.6. Design and Implementation Constraints</w:t>
      </w:r>
    </w:p>
    <w:p>
      <w:pPr>
        <w:pStyle w:val="Heading3"/>
      </w:pPr>
      <w:r>
        <w:t>1.6.1. Technical Constraints</w:t>
      </w:r>
    </w:p>
    <w:p>
      <w:pPr>
        <w:pStyle w:val="ListBullet"/>
      </w:pPr>
      <w:r>
        <w:t>The current project documents specify a single web application using Next.js 15 App Router, React, TypeScript, Tailwind CSS, shadcn/ui, and Lucide React.</w:t>
      </w:r>
    </w:p>
    <w:p>
      <w:pPr>
        <w:pStyle w:val="ListBullet"/>
      </w:pPr>
      <w:r>
        <w:t>Server-side processing is specified through Next.js Server Actions and Route Handlers; no separate backend application is in scope.</w:t>
      </w:r>
    </w:p>
    <w:p>
      <w:pPr>
        <w:pStyle w:val="ListBullet"/>
      </w:pPr>
      <w:r>
        <w:t>The database baseline is PostgreSQL through Supabase; file storage is Supabase Storage; authentication is specified as Auth.js; deployment is proposed on Vercel; npm is the package manager.</w:t>
      </w:r>
    </w:p>
    <w:p>
      <w:pPr>
        <w:pStyle w:val="ListBullet"/>
      </w:pPr>
      <w:r>
        <w:t>The documented architecture says not to use Prisma or create a separate backend application.</w:t>
      </w:r>
    </w:p>
    <w:p>
      <w:pPr>
        <w:pStyle w:val="ListBullet"/>
      </w:pPr>
      <w:r>
        <w:t>Authorization must be enforced server-side for protected reads, mutations, exports, and file access. Secrets and service-role credentials must not be exposed to browser code.</w:t>
      </w:r>
    </w:p>
    <w:p>
      <w:pPr>
        <w:pStyle w:val="ListBullet"/>
      </w:pPr>
      <w:r>
        <w:t>POD and supporting documents must be protected by appropriate access checks and not be unrestricted public files by default.</w:t>
      </w:r>
    </w:p>
    <w:p>
      <w:pPr>
        <w:pStyle w:val="ListBullet"/>
      </w:pPr>
      <w:r>
        <w:t>The current technical stack is a documented design baseline, not proof of completed integration or production deployment. In particular, the Auth.js/Supabase integration and production authorization model require technical validation.</w:t>
      </w:r>
    </w:p>
    <w:p>
      <w:pPr>
        <w:pStyle w:val="Heading3"/>
      </w:pPr>
      <w:r>
        <w:t>1.6.2. Operational and Scope Constraints</w:t>
      </w:r>
    </w:p>
    <w:p>
      <w:pPr>
        <w:pStyle w:val="ListBullet"/>
      </w:pPr>
      <w:r>
        <w:t>Access is restricted to authorized internal users under an approved role-permission matrix.</w:t>
      </w:r>
    </w:p>
    <w:p>
      <w:pPr>
        <w:pStyle w:val="ListBullet"/>
      </w:pPr>
      <w:r>
        <w:t>Operations records delivery transactions after completion; users enter the source information and remain responsible for corrections according to approved permissions.</w:t>
      </w:r>
    </w:p>
    <w:p>
      <w:pPr>
        <w:pStyle w:val="ListBullet"/>
      </w:pPr>
      <w:r>
        <w:t>The system relies on stable internet access and a modern desktop browser; minimum supported browsers and mobile behavior remain TBD.</w:t>
      </w:r>
    </w:p>
    <w:p>
      <w:pPr>
        <w:pStyle w:val="ListBullet"/>
      </w:pPr>
      <w:r>
        <w:t>Proposed hosting provider ownership, production tier, recurring-cost payer, backup setup, and day-to-day operational owner are not established by the prototype.</w:t>
      </w:r>
    </w:p>
    <w:p>
      <w:pPr>
        <w:pStyle w:val="ListBullet"/>
      </w:pPr>
      <w:r>
        <w:t>The project timeline in the current Project Plan/LOA is August 10 to December 4, 2026. The Project Plan says active development is planned to start October 19; this SRS does not assume earlier work is complete.</w:t>
      </w:r>
    </w:p>
    <w:p>
      <w:pPr>
        <w:pStyle w:val="Heading2"/>
      </w:pPr>
      <w:r>
        <w:t>1.7. User Documentation</w:t>
      </w:r>
    </w:p>
    <w:p>
      <w:pPr>
        <w:pStyle w:val="ListBullet"/>
      </w:pPr>
      <w:r>
        <w:t>Digital user manual explaining role-specific use of delivery records, fleet/reference data, POD, search, financial records, profitability views, reports, and administration.</w:t>
      </w:r>
    </w:p>
    <w:p>
      <w:pPr>
        <w:pStyle w:val="ListBullet"/>
      </w:pPr>
      <w:r>
        <w:t>User orientation/training material for client turnover.</w:t>
      </w:r>
    </w:p>
    <w:p>
      <w:pPr>
        <w:pStyle w:val="ListBullet"/>
      </w:pPr>
      <w:r>
        <w:t>Technical documentation describing the delivered architecture, data model, configuration, security, deployment, backup/restore arrangement, and known limitations.</w:t>
      </w:r>
    </w:p>
    <w:p>
      <w:pPr>
        <w:pStyle w:val="ListBullet"/>
      </w:pPr>
      <w:r>
        <w:t>Documents must match the accepted implemented version rather than merely repeat this requirements draft.</w:t>
      </w:r>
    </w:p>
    <w:p>
      <w:pPr>
        <w:pStyle w:val="Heading2"/>
      </w:pPr>
      <w:r>
        <w:t>1.8. Assumptions and Dependencies</w:t>
      </w:r>
    </w:p>
    <w:p>
      <w:pPr>
        <w:pStyle w:val="Heading3"/>
      </w:pPr>
      <w:r>
        <w:t>1.8.1. Assumptions</w:t>
      </w:r>
    </w:p>
    <w:p>
      <w:pPr>
        <w:pStyle w:val="ListBullet"/>
      </w:pPr>
      <w:r>
        <w:t>The client will provide or approve workflows, required fields, expense classifications, calculation examples, role permissions, and UAT scenarios needed to resolve TBD items.</w:t>
      </w:r>
    </w:p>
    <w:p>
      <w:pPr>
        <w:pStyle w:val="ListBullet"/>
      </w:pPr>
      <w:r>
        <w:t>Users will enter accurate source data and protect their credentials; only authorized personnel will receive system accounts.</w:t>
      </w:r>
    </w:p>
    <w:p>
      <w:pPr>
        <w:pStyle w:val="ListBullet"/>
      </w:pPr>
      <w:r>
        <w:t>Financial outputs remain provisional until the client approves formulas and inclusion rules in writing.</w:t>
      </w:r>
    </w:p>
    <w:p>
      <w:pPr>
        <w:pStyle w:val="ListBullet"/>
      </w:pPr>
      <w:r>
        <w:t>The reviewed project documents are working documents. Where they conflict, the discrepancy is recorded in Requirements Validation / Consistency Review rather than silently resolved.</w:t>
      </w:r>
    </w:p>
    <w:p>
      <w:pPr>
        <w:pStyle w:val="Heading3"/>
      </w:pPr>
      <w:r>
        <w:t>1.8.2. Dependencies</w:t>
      </w:r>
    </w:p>
    <w:p>
      <w:pPr>
        <w:pStyle w:val="ListBullet"/>
      </w:pPr>
      <w:r>
        <w:t>The app depends on the selected hosting, database, authentication, and file-storage services remaining available and being configured securely.</w:t>
      </w:r>
    </w:p>
    <w:p>
      <w:pPr>
        <w:pStyle w:val="ListBullet"/>
      </w:pPr>
      <w:r>
        <w:t>A stable internet connection and a supported modern browser are required; the exact browser/device support matrix is TBD.</w:t>
      </w:r>
    </w:p>
    <w:p>
      <w:pPr>
        <w:pStyle w:val="ListBullet"/>
      </w:pPr>
      <w:r>
        <w:t>Hosting ownership and costs, retention, backups, file limits, and deployment controls require decisions before production use.</w:t>
      </w:r>
    </w:p>
    <w:p>
      <w:pPr>
        <w:pStyle w:val="ListBullet"/>
      </w:pPr>
      <w:r>
        <w:t>Client feedback and approval are needed to finalize unresolved business rules and acceptance criteria.</w:t>
      </w:r>
    </w:p>
    <w:p>
      <w:pPr>
        <w:pStyle w:val="Heading1"/>
      </w:pPr>
      <w:r>
        <w:t>2. Data Requirements</w:t>
      </w:r>
    </w:p>
    <w:p>
      <w:pPr>
        <w:pStyle w:val="Heading2"/>
      </w:pPr>
      <w:r>
        <w:t>2.1. Data Validation Rules</w:t>
      </w:r>
    </w:p>
    <w:p>
      <w:pPr>
        <w:pStyle w:val="ListBullet"/>
      </w:pPr>
      <w:r>
        <w:t>Delivery records shall reference valid client, truck, and crew/employee records as applicable.</w:t>
      </w:r>
    </w:p>
    <w:p>
      <w:pPr>
        <w:pStyle w:val="ListBullet"/>
      </w:pPr>
      <w:r>
        <w:t>Delivery IDs and truck plate numbers shall be unique according to an approved uniqueness rule; the treatment of historical plate reuse or duplicate source IDs requires confirmation.</w:t>
      </w:r>
    </w:p>
    <w:p>
      <w:pPr>
        <w:pStyle w:val="ListBullet"/>
      </w:pPr>
      <w:r>
        <w:t>Dates and timestamps must parse as valid values. The exact definitions, timezone conventions, and mandatory status of Call Time, ETA/arrival at store, Start Loading, End Loading, and Departure remain TBD.</w:t>
      </w:r>
    </w:p>
    <w:p>
      <w:pPr>
        <w:pStyle w:val="ListBullet"/>
      </w:pPr>
      <w:r>
        <w:t>Money shall be stored using exact decimal/numeric values or integer minor units, not floating-point types.</w:t>
      </w:r>
    </w:p>
    <w:p>
      <w:pPr>
        <w:pStyle w:val="ListBullet"/>
      </w:pPr>
      <w:r>
        <w:t>Amounts shall be numeric. Negative values, refunds, credits, corrections, reversals, and adjustments must follow an explicit approved business rule rather than being universally rejected.</w:t>
      </w:r>
    </w:p>
    <w:p>
      <w:pPr>
        <w:pStyle w:val="ListBullet"/>
      </w:pPr>
      <w:r>
        <w:t>Base delivery revenue, approved additional revenue charges, delivery-attributable expenses, company expenses, and compensation summaries shall be represented distinctly enough to support reconciliation and avoid double counting.</w:t>
      </w:r>
    </w:p>
    <w:p>
      <w:pPr>
        <w:pStyle w:val="ListBullet"/>
      </w:pPr>
      <w:r>
        <w:t>Derived delivery/truck/company totals and margins shall be calculated from approved source entries; derived values shall not be editable as if they were source transactions.</w:t>
      </w:r>
    </w:p>
    <w:p>
      <w:pPr>
        <w:pStyle w:val="ListBullet"/>
      </w:pPr>
      <w:r>
        <w:t>Historical delivery values must not silently change when current rates or reference data are edited.</w:t>
      </w:r>
    </w:p>
    <w:p>
      <w:pPr>
        <w:pStyle w:val="ListBullet"/>
      </w:pPr>
      <w:r>
        <w:t>POD uploads shall be associated with an existing delivery and validated against client-approved file-type and size limits. These limits remain TBD.</w:t>
      </w:r>
    </w:p>
    <w:p>
      <w:pPr>
        <w:pStyle w:val="ListBullet"/>
      </w:pPr>
      <w:r>
        <w:t>Record states including cancelled, incomplete, disputed, adjusted, refunded, and duplicate deliveries require approved handling rules before calculations/reports are finalized.</w:t>
      </w:r>
    </w:p>
    <w:p>
      <w:pPr>
        <w:pStyle w:val="ListBullet"/>
      </w:pPr>
      <w:r>
        <w:t>A missing-data or missing-POD indicator, if approved, must be based on explicitly defined required fields and must not substitute for validating the underlying record.</w:t>
      </w:r>
    </w:p>
    <w:p>
      <w:pPr>
        <w:pStyle w:val="Heading2"/>
      </w:pPr>
      <w:r>
        <w:t>2.2. Data Security and Privacy Requirements</w:t>
      </w:r>
    </w:p>
    <w:p>
      <w:pPr>
        <w:pStyle w:val="ListBullet"/>
      </w:pPr>
      <w:r>
        <w:t>The system shall authenticate users before granting access to protected records and shall enforce role-based permissions on the server, not only by hiding interface controls.</w:t>
      </w:r>
    </w:p>
    <w:p>
      <w:pPr>
        <w:pStyle w:val="ListBullet"/>
      </w:pPr>
      <w:r>
        <w:t>Passwords and authentication secrets shall be handled using secure authentication mechanisms; secret configuration and service-role credentials shall not be exposed to browser code.</w:t>
      </w:r>
    </w:p>
    <w:p>
      <w:pPr>
        <w:pStyle w:val="ListBullet"/>
      </w:pPr>
      <w:r>
        <w:t>Production communications shall use HTTPS/TLS.</w:t>
      </w:r>
    </w:p>
    <w:p>
      <w:pPr>
        <w:pStyle w:val="ListBullet"/>
      </w:pPr>
      <w:r>
        <w:t>Access to POD files, financial records, employee/compensation information, exports, and audit logs shall be restricted according to approved permissions.</w:t>
      </w:r>
    </w:p>
    <w:p>
      <w:pPr>
        <w:pStyle w:val="ListBullet"/>
      </w:pPr>
      <w:r>
        <w:t>Important record creation, modification, upload, and account-related events shall be logged. Before/after values should be retained for important financial/operational changes where technically supported and approved.</w:t>
      </w:r>
    </w:p>
    <w:p>
      <w:pPr>
        <w:pStyle w:val="ListBullet"/>
      </w:pPr>
      <w:r>
        <w:t>Audit logs must not store passwords or unnecessary sensitive data.</w:t>
      </w:r>
    </w:p>
    <w:p>
      <w:pPr>
        <w:pStyle w:val="ListBullet"/>
      </w:pPr>
      <w:r>
        <w:t>Personal and business records shall be handled for authorized operational purposes and consistently with applicable Philippine data-protection requirements. The SRS does not itself certify legal compliance; the implementation and procedures require review.</w:t>
      </w:r>
    </w:p>
    <w:p>
      <w:pPr>
        <w:pStyle w:val="ListBullet"/>
      </w:pPr>
      <w:r>
        <w:t>Administrative rights must be separated from permission to edit financial records unless the approved permission matrix explicitly combines them.</w:t>
      </w:r>
    </w:p>
    <w:p>
      <w:pPr>
        <w:pStyle w:val="Heading2"/>
      </w:pPr>
      <w:r>
        <w:t>2.3. Data Retention and Backup Requirements</w:t>
      </w:r>
    </w:p>
    <w:p>
      <w:pPr>
        <w:pStyle w:val="ListBullet"/>
      </w:pPr>
      <w:r>
        <w:t>Delivery, truck, client, crew/employee, expense, compensation-summary, user, POD, and audit records shall be retained as required for agreed operational use and historical review.</w:t>
      </w:r>
    </w:p>
    <w:p>
      <w:pPr>
        <w:pStyle w:val="ListBullet"/>
      </w:pPr>
      <w:r>
        <w:t>A backup and recovery arrangement shall be defined before production use. Backup frequency, retention length, recovery expectations, and responsibility for restore tests are TBD.</w:t>
      </w:r>
    </w:p>
    <w:p>
      <w:pPr>
        <w:pStyle w:val="ListBullet"/>
      </w:pPr>
      <w:r>
        <w:t>POD file retention, attachment limits, deletion/archive behavior, and backup coverage require agreement with the client and hosting provider.</w:t>
      </w:r>
    </w:p>
    <w:p>
      <w:pPr>
        <w:pStyle w:val="ListBullet"/>
      </w:pPr>
      <w:r>
        <w:t>Data export and handling on project termination shall follow the governing agreement and the approved turnover process.</w:t>
      </w:r>
    </w:p>
    <w:p>
      <w:pPr>
        <w:pStyle w:val="ListBullet"/>
      </w:pPr>
      <w:r>
        <w:t>The currently available LOA-aligned file still contains conflicting maintenance/support wording and other editorial notes; this is a contract-document issue that must be corrected separately and is not treated here as an approved system function.</w:t>
      </w:r>
    </w:p>
    <w:p>
      <w:r>
        <w:br w:type="page"/>
      </w:r>
    </w:p>
    <w:p>
      <w:pPr>
        <w:pStyle w:val="Heading1"/>
      </w:pPr>
      <w:r>
        <w:t>3. System Features</w:t>
      </w:r>
    </w:p>
    <w:p>
      <w:pPr>
        <w:pStyle w:val="Heading2"/>
      </w:pPr>
      <w:r>
        <w:t>3.1. Functional Requirements</w:t>
      </w:r>
    </w:p>
    <w:p>
      <w:r>
        <w:t>Priority: High = essential for the first release and core business outcomes; Medium = useful supporting capability that can follow once the core workflow is reliable; Low = optional enhancement that may be deferred. Priority measures business importance, not implementation readiness. Unresolved business rules remain listed as TBD and must not be guessed. The requirements below describe the target system. The UI prototype is not proof of implementation.</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936"/>
            <w:shd w:fill="E7E7E7"/>
            <w:tcMar>
              <w:top w:w="70" w:type="dxa"/>
              <w:start w:w="80" w:type="dxa"/>
              <w:bottom w:w="70" w:type="dxa"/>
              <w:end w:w="80" w:type="dxa"/>
            </w:tcMar>
            <w:vAlign w:val="center"/>
          </w:tcPr>
          <w:p>
            <w:pPr>
              <w:spacing w:after="0"/>
            </w:pPr>
            <w:r>
              <w:rPr>
                <w:rFonts w:ascii="Arial" w:hAnsi="Arial"/>
                <w:b/>
                <w:color w:val="000000"/>
                <w:sz w:val="14"/>
              </w:rPr>
              <w:t>ID</w:t>
            </w:r>
          </w:p>
        </w:tc>
        <w:tc>
          <w:tcPr>
            <w:tcW w:type="dxa" w:w="1512"/>
            <w:shd w:fill="E7E7E7"/>
            <w:tcMar>
              <w:top w:w="70" w:type="dxa"/>
              <w:start w:w="80" w:type="dxa"/>
              <w:bottom w:w="70" w:type="dxa"/>
              <w:end w:w="80" w:type="dxa"/>
            </w:tcMar>
            <w:vAlign w:val="center"/>
          </w:tcPr>
          <w:p>
            <w:pPr>
              <w:spacing w:after="0"/>
            </w:pPr>
            <w:r>
              <w:rPr>
                <w:rFonts w:ascii="Arial" w:hAnsi="Arial"/>
                <w:b/>
                <w:color w:val="000000"/>
                <w:sz w:val="14"/>
              </w:rPr>
              <w:t>Area</w:t>
            </w:r>
          </w:p>
        </w:tc>
        <w:tc>
          <w:tcPr>
            <w:tcW w:type="dxa" w:w="4824"/>
            <w:shd w:fill="E7E7E7"/>
            <w:tcMar>
              <w:top w:w="70" w:type="dxa"/>
              <w:start w:w="80" w:type="dxa"/>
              <w:bottom w:w="70" w:type="dxa"/>
              <w:end w:w="80" w:type="dxa"/>
            </w:tcMar>
            <w:vAlign w:val="center"/>
          </w:tcPr>
          <w:p>
            <w:pPr>
              <w:spacing w:after="0"/>
            </w:pPr>
            <w:r>
              <w:rPr>
                <w:rFonts w:ascii="Arial" w:hAnsi="Arial"/>
                <w:b/>
                <w:color w:val="000000"/>
                <w:sz w:val="14"/>
              </w:rPr>
              <w:t>Requirement</w:t>
            </w:r>
          </w:p>
        </w:tc>
        <w:tc>
          <w:tcPr>
            <w:tcW w:type="dxa" w:w="1037"/>
            <w:shd w:fill="E7E7E7"/>
            <w:tcMar>
              <w:top w:w="70" w:type="dxa"/>
              <w:start w:w="80" w:type="dxa"/>
              <w:bottom w:w="70" w:type="dxa"/>
              <w:end w:w="80" w:type="dxa"/>
            </w:tcMar>
            <w:vAlign w:val="center"/>
          </w:tcPr>
          <w:p>
            <w:pPr>
              <w:spacing w:after="0"/>
            </w:pPr>
            <w:r>
              <w:rPr>
                <w:rFonts w:ascii="Arial" w:hAnsi="Arial"/>
                <w:b/>
                <w:color w:val="000000"/>
                <w:sz w:val="14"/>
              </w:rPr>
              <w:t>Priority</w:t>
            </w:r>
          </w:p>
        </w:tc>
        <w:tc>
          <w:tcPr>
            <w:tcW w:type="dxa" w:w="1800"/>
            <w:shd w:fill="E7E7E7"/>
            <w:tcMar>
              <w:top w:w="70" w:type="dxa"/>
              <w:start w:w="80" w:type="dxa"/>
              <w:bottom w:w="70" w:type="dxa"/>
              <w:end w:w="80" w:type="dxa"/>
            </w:tcMar>
            <w:vAlign w:val="center"/>
          </w:tcPr>
          <w:p>
            <w:pPr>
              <w:spacing w:after="0"/>
            </w:pPr>
            <w:r>
              <w:rPr>
                <w:rFonts w:ascii="Arial" w:hAnsi="Arial"/>
                <w:b/>
                <w:color w:val="000000"/>
                <w:sz w:val="14"/>
              </w:rPr>
              <w:t>Acceptance / Validation</w:t>
            </w:r>
          </w:p>
        </w:tc>
      </w:tr>
      <w:tr>
        <w:trPr>
          <w:cantSplit/>
        </w:trPr>
        <w:tc>
          <w:tcPr>
            <w:tcW w:type="dxa" w:w="936"/>
            <w:tcMar>
              <w:top w:w="70" w:type="dxa"/>
              <w:start w:w="80" w:type="dxa"/>
              <w:bottom w:w="70" w:type="dxa"/>
              <w:end w:w="80" w:type="dxa"/>
            </w:tcMar>
            <w:vAlign w:val="center"/>
          </w:tcPr>
          <w:p>
            <w:pPr>
              <w:spacing w:after="0" w:line="240" w:lineRule="auto"/>
            </w:pPr>
            <w:r>
              <w:rPr>
                <w:rFonts w:ascii="Arial" w:hAnsi="Arial"/>
                <w:color w:val="141414"/>
                <w:sz w:val="14"/>
              </w:rPr>
              <w:t>REQ-001</w:t>
            </w:r>
          </w:p>
        </w:tc>
        <w:tc>
          <w:tcPr>
            <w:tcW w:type="dxa" w:w="1512"/>
            <w:tcMar>
              <w:top w:w="70" w:type="dxa"/>
              <w:start w:w="80" w:type="dxa"/>
              <w:bottom w:w="70" w:type="dxa"/>
              <w:end w:w="80" w:type="dxa"/>
            </w:tcMar>
            <w:vAlign w:val="center"/>
          </w:tcPr>
          <w:p>
            <w:pPr>
              <w:spacing w:after="0" w:line="240" w:lineRule="auto"/>
            </w:pPr>
            <w:r>
              <w:rPr>
                <w:rFonts w:ascii="Arial" w:hAnsi="Arial"/>
                <w:color w:val="141414"/>
                <w:sz w:val="14"/>
              </w:rPr>
              <w:t>Authentication</w:t>
            </w:r>
          </w:p>
        </w:tc>
        <w:tc>
          <w:tcPr>
            <w:tcW w:type="dxa" w:w="4824"/>
            <w:tcMar>
              <w:top w:w="70" w:type="dxa"/>
              <w:start w:w="80" w:type="dxa"/>
              <w:bottom w:w="70" w:type="dxa"/>
              <w:end w:w="80" w:type="dxa"/>
            </w:tcMar>
            <w:vAlign w:val="center"/>
          </w:tcPr>
          <w:p>
            <w:pPr>
              <w:spacing w:after="0" w:line="240" w:lineRule="auto"/>
            </w:pPr>
            <w:r>
              <w:rPr>
                <w:rFonts w:ascii="Arial" w:hAnsi="Arial"/>
                <w:color w:val="141414"/>
                <w:sz w:val="14"/>
              </w:rPr>
              <w:t>The system shall require an authorized user to authenticate before accessing protected records.</w:t>
            </w:r>
          </w:p>
        </w:tc>
        <w:tc>
          <w:tcPr>
            <w:tcW w:type="dxa" w:w="1037"/>
            <w:tcMar>
              <w:top w:w="70" w:type="dxa"/>
              <w:start w:w="80" w:type="dxa"/>
              <w:bottom w:w="70" w:type="dxa"/>
              <w:end w:w="80" w:type="dxa"/>
            </w:tcMar>
            <w:vAlign w:val="center"/>
          </w:tcPr>
          <w:p>
            <w:r>
              <w:t>High</w:t>
            </w:r>
          </w:p>
        </w:tc>
        <w:tc>
          <w:tcPr>
            <w:tcW w:type="dxa" w:w="1800"/>
            <w:tcMar>
              <w:top w:w="70" w:type="dxa"/>
              <w:start w:w="80" w:type="dxa"/>
              <w:bottom w:w="70" w:type="dxa"/>
              <w:end w:w="80" w:type="dxa"/>
            </w:tcMar>
            <w:vAlign w:val="center"/>
          </w:tcPr>
          <w:p>
            <w:pPr>
              <w:spacing w:after="0" w:line="240" w:lineRule="auto"/>
            </w:pPr>
            <w:r>
              <w:rPr>
                <w:rFonts w:ascii="Arial" w:hAnsi="Arial"/>
                <w:color w:val="141414"/>
                <w:sz w:val="14"/>
              </w:rPr>
              <w:t>Protected data cannot be viewed without authentication.</w:t>
            </w:r>
          </w:p>
        </w:tc>
      </w:tr>
      <w:tr>
        <w:trPr>
          <w:cantSplit/>
        </w:trPr>
        <w:tc>
          <w:tcPr>
            <w:tcW w:type="dxa" w:w="936"/>
            <w:tcMar>
              <w:top w:w="70" w:type="dxa"/>
              <w:start w:w="80" w:type="dxa"/>
              <w:bottom w:w="70" w:type="dxa"/>
              <w:end w:w="80" w:type="dxa"/>
            </w:tcMar>
            <w:vAlign w:val="center"/>
            <w:shd w:fill="F7F7F7"/>
          </w:tcPr>
          <w:p>
            <w:pPr>
              <w:spacing w:after="0" w:line="240" w:lineRule="auto"/>
            </w:pPr>
            <w:r>
              <w:rPr>
                <w:rFonts w:ascii="Arial" w:hAnsi="Arial"/>
                <w:color w:val="141414"/>
                <w:sz w:val="14"/>
              </w:rPr>
              <w:t>REQ-002</w:t>
            </w:r>
          </w:p>
        </w:tc>
        <w:tc>
          <w:tcPr>
            <w:tcW w:type="dxa" w:w="1512"/>
            <w:tcMar>
              <w:top w:w="70" w:type="dxa"/>
              <w:start w:w="80" w:type="dxa"/>
              <w:bottom w:w="70" w:type="dxa"/>
              <w:end w:w="80" w:type="dxa"/>
            </w:tcMar>
            <w:vAlign w:val="center"/>
            <w:shd w:fill="F7F7F7"/>
          </w:tcPr>
          <w:p>
            <w:pPr>
              <w:spacing w:after="0" w:line="240" w:lineRule="auto"/>
            </w:pPr>
            <w:r>
              <w:rPr>
                <w:rFonts w:ascii="Arial" w:hAnsi="Arial"/>
                <w:color w:val="141414"/>
                <w:sz w:val="14"/>
              </w:rPr>
              <w:t>Authorization</w:t>
            </w:r>
          </w:p>
        </w:tc>
        <w:tc>
          <w:tcPr>
            <w:tcW w:type="dxa" w:w="4824"/>
            <w:tcMar>
              <w:top w:w="70" w:type="dxa"/>
              <w:start w:w="80" w:type="dxa"/>
              <w:bottom w:w="70" w:type="dxa"/>
              <w:end w:w="80" w:type="dxa"/>
            </w:tcMar>
            <w:vAlign w:val="center"/>
            <w:shd w:fill="F7F7F7"/>
          </w:tcPr>
          <w:p>
            <w:pPr>
              <w:spacing w:after="0" w:line="240" w:lineRule="auto"/>
            </w:pPr>
            <w:r>
              <w:rPr>
                <w:rFonts w:ascii="Arial" w:hAnsi="Arial"/>
                <w:color w:val="141414"/>
                <w:sz w:val="14"/>
              </w:rPr>
              <w:t>The system shall enforce role-based permissions server-side for protected pages, queries, mutations, exports, and file access.</w:t>
            </w:r>
          </w:p>
        </w:tc>
        <w:tc>
          <w:tcPr>
            <w:tcW w:type="dxa" w:w="1037"/>
            <w:tcMar>
              <w:top w:w="70" w:type="dxa"/>
              <w:start w:w="80" w:type="dxa"/>
              <w:bottom w:w="70" w:type="dxa"/>
              <w:end w:w="80" w:type="dxa"/>
            </w:tcMar>
            <w:vAlign w:val="center"/>
            <w:shd w:fill="F7F7F7"/>
          </w:tcPr>
          <w:p>
            <w:r>
              <w:t>High</w:t>
            </w:r>
          </w:p>
        </w:tc>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4"/>
              </w:rPr>
              <w:t>Unauthorized direct requests are rejected.</w:t>
            </w:r>
          </w:p>
        </w:tc>
      </w:tr>
      <w:tr>
        <w:trPr>
          <w:cantSplit/>
        </w:trPr>
        <w:tc>
          <w:tcPr>
            <w:tcW w:type="dxa" w:w="936"/>
            <w:tcMar>
              <w:top w:w="70" w:type="dxa"/>
              <w:start w:w="80" w:type="dxa"/>
              <w:bottom w:w="70" w:type="dxa"/>
              <w:end w:w="80" w:type="dxa"/>
            </w:tcMar>
            <w:vAlign w:val="center"/>
          </w:tcPr>
          <w:p>
            <w:pPr>
              <w:spacing w:after="0" w:line="240" w:lineRule="auto"/>
            </w:pPr>
            <w:r>
              <w:rPr>
                <w:rFonts w:ascii="Arial" w:hAnsi="Arial"/>
                <w:color w:val="141414"/>
                <w:sz w:val="14"/>
              </w:rPr>
              <w:t>REQ-003</w:t>
            </w:r>
          </w:p>
        </w:tc>
        <w:tc>
          <w:tcPr>
            <w:tcW w:type="dxa" w:w="1512"/>
            <w:tcMar>
              <w:top w:w="70" w:type="dxa"/>
              <w:start w:w="80" w:type="dxa"/>
              <w:bottom w:w="70" w:type="dxa"/>
              <w:end w:w="80" w:type="dxa"/>
            </w:tcMar>
            <w:vAlign w:val="center"/>
          </w:tcPr>
          <w:p>
            <w:pPr>
              <w:spacing w:after="0" w:line="240" w:lineRule="auto"/>
            </w:pPr>
            <w:r>
              <w:rPr>
                <w:rFonts w:ascii="Arial" w:hAnsi="Arial"/>
                <w:color w:val="141414"/>
                <w:sz w:val="14"/>
              </w:rPr>
              <w:t>Fleet records</w:t>
            </w:r>
          </w:p>
        </w:tc>
        <w:tc>
          <w:tcPr>
            <w:tcW w:type="dxa" w:w="4824"/>
            <w:tcMar>
              <w:top w:w="70" w:type="dxa"/>
              <w:start w:w="80" w:type="dxa"/>
              <w:bottom w:w="70" w:type="dxa"/>
              <w:end w:w="80" w:type="dxa"/>
            </w:tcMar>
            <w:vAlign w:val="center"/>
          </w:tcPr>
          <w:p>
            <w:pPr>
              <w:spacing w:after="0" w:line="240" w:lineRule="auto"/>
            </w:pPr>
            <w:r>
              <w:rPr>
                <w:rFonts w:ascii="Arial" w:hAnsi="Arial"/>
                <w:color w:val="141414"/>
                <w:sz w:val="14"/>
              </w:rPr>
              <w:t>Authorized users shall maintain truck records including plate number, ownership category (owned/subcontracted), truck type, and status. Four-wheeler and six-wheeler types are identified in project documents.</w:t>
            </w:r>
          </w:p>
        </w:tc>
        <w:tc>
          <w:tcPr>
            <w:tcW w:type="dxa" w:w="1037"/>
            <w:tcMar>
              <w:top w:w="70" w:type="dxa"/>
              <w:start w:w="80" w:type="dxa"/>
              <w:bottom w:w="70" w:type="dxa"/>
              <w:end w:w="80" w:type="dxa"/>
            </w:tcMar>
            <w:vAlign w:val="center"/>
          </w:tcPr>
          <w:p>
            <w:r>
              <w:t>Medium</w:t>
            </w:r>
          </w:p>
        </w:tc>
        <w:tc>
          <w:tcPr>
            <w:tcW w:type="dxa" w:w="1800"/>
            <w:tcMar>
              <w:top w:w="70" w:type="dxa"/>
              <w:start w:w="80" w:type="dxa"/>
              <w:bottom w:w="70" w:type="dxa"/>
              <w:end w:w="80" w:type="dxa"/>
            </w:tcMar>
            <w:vAlign w:val="center"/>
          </w:tcPr>
          <w:p>
            <w:pPr>
              <w:spacing w:after="0" w:line="240" w:lineRule="auto"/>
            </w:pPr>
            <w:r>
              <w:rPr>
                <w:rFonts w:ascii="Arial" w:hAnsi="Arial"/>
                <w:color w:val="141414"/>
                <w:sz w:val="14"/>
              </w:rPr>
              <w:t>Record creation/update and ownership/type retrieval are testable.</w:t>
            </w:r>
          </w:p>
        </w:tc>
      </w:tr>
      <w:tr>
        <w:trPr>
          <w:cantSplit/>
        </w:trPr>
        <w:tc>
          <w:tcPr>
            <w:tcW w:type="dxa" w:w="936"/>
            <w:tcMar>
              <w:top w:w="70" w:type="dxa"/>
              <w:start w:w="80" w:type="dxa"/>
              <w:bottom w:w="70" w:type="dxa"/>
              <w:end w:w="80" w:type="dxa"/>
            </w:tcMar>
            <w:vAlign w:val="center"/>
            <w:shd w:fill="F7F7F7"/>
          </w:tcPr>
          <w:p>
            <w:pPr>
              <w:spacing w:after="0" w:line="240" w:lineRule="auto"/>
            </w:pPr>
            <w:r>
              <w:rPr>
                <w:rFonts w:ascii="Arial" w:hAnsi="Arial"/>
                <w:color w:val="141414"/>
                <w:sz w:val="14"/>
              </w:rPr>
              <w:t>REQ-004</w:t>
            </w:r>
          </w:p>
        </w:tc>
        <w:tc>
          <w:tcPr>
            <w:tcW w:type="dxa" w:w="1512"/>
            <w:tcMar>
              <w:top w:w="70" w:type="dxa"/>
              <w:start w:w="80" w:type="dxa"/>
              <w:bottom w:w="70" w:type="dxa"/>
              <w:end w:w="80" w:type="dxa"/>
            </w:tcMar>
            <w:vAlign w:val="center"/>
            <w:shd w:fill="F7F7F7"/>
          </w:tcPr>
          <w:p>
            <w:pPr>
              <w:spacing w:after="0" w:line="240" w:lineRule="auto"/>
            </w:pPr>
            <w:r>
              <w:rPr>
                <w:rFonts w:ascii="Arial" w:hAnsi="Arial"/>
                <w:color w:val="141414"/>
                <w:sz w:val="14"/>
              </w:rPr>
              <w:t>Reference records</w:t>
            </w:r>
          </w:p>
        </w:tc>
        <w:tc>
          <w:tcPr>
            <w:tcW w:type="dxa" w:w="4824"/>
            <w:tcMar>
              <w:top w:w="70" w:type="dxa"/>
              <w:start w:w="80" w:type="dxa"/>
              <w:bottom w:w="70" w:type="dxa"/>
              <w:end w:w="80" w:type="dxa"/>
            </w:tcMar>
            <w:vAlign w:val="center"/>
            <w:shd w:fill="F7F7F7"/>
          </w:tcPr>
          <w:p>
            <w:pPr>
              <w:spacing w:after="0" w:line="240" w:lineRule="auto"/>
            </w:pPr>
            <w:r>
              <w:rPr>
                <w:rFonts w:ascii="Arial" w:hAnsi="Arial"/>
                <w:color w:val="141414"/>
                <w:sz w:val="14"/>
              </w:rPr>
              <w:t>The system shall maintain clients and employee/crew records needed to associate a delivery with a client, driver, and one or two helpers where applicable.</w:t>
            </w:r>
          </w:p>
        </w:tc>
        <w:tc>
          <w:tcPr>
            <w:tcW w:type="dxa" w:w="1037"/>
            <w:tcMar>
              <w:top w:w="70" w:type="dxa"/>
              <w:start w:w="80" w:type="dxa"/>
              <w:bottom w:w="70" w:type="dxa"/>
              <w:end w:w="80" w:type="dxa"/>
            </w:tcMar>
            <w:vAlign w:val="center"/>
            <w:shd w:fill="F7F7F7"/>
          </w:tcPr>
          <w:p>
            <w:r>
              <w:t>Medium</w:t>
            </w:r>
          </w:p>
        </w:tc>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4"/>
              </w:rPr>
              <w:t>Delivery relationships resolve to valid records; detailed employee fields TBD.</w:t>
            </w:r>
          </w:p>
        </w:tc>
      </w:tr>
      <w:tr>
        <w:trPr>
          <w:cantSplit/>
        </w:trPr>
        <w:tc>
          <w:tcPr>
            <w:tcW w:type="dxa" w:w="936"/>
            <w:tcMar>
              <w:top w:w="70" w:type="dxa"/>
              <w:start w:w="80" w:type="dxa"/>
              <w:bottom w:w="70" w:type="dxa"/>
              <w:end w:w="80" w:type="dxa"/>
            </w:tcMar>
            <w:vAlign w:val="center"/>
          </w:tcPr>
          <w:p>
            <w:pPr>
              <w:spacing w:after="0" w:line="240" w:lineRule="auto"/>
            </w:pPr>
            <w:r>
              <w:rPr>
                <w:rFonts w:ascii="Arial" w:hAnsi="Arial"/>
                <w:color w:val="141414"/>
                <w:sz w:val="14"/>
              </w:rPr>
              <w:t>REQ-005</w:t>
            </w:r>
          </w:p>
        </w:tc>
        <w:tc>
          <w:tcPr>
            <w:tcW w:type="dxa" w:w="1512"/>
            <w:tcMar>
              <w:top w:w="70" w:type="dxa"/>
              <w:start w:w="80" w:type="dxa"/>
              <w:bottom w:w="70" w:type="dxa"/>
              <w:end w:w="80" w:type="dxa"/>
            </w:tcMar>
            <w:vAlign w:val="center"/>
          </w:tcPr>
          <w:p>
            <w:pPr>
              <w:spacing w:after="0" w:line="240" w:lineRule="auto"/>
            </w:pPr>
            <w:r>
              <w:rPr>
                <w:rFonts w:ascii="Arial" w:hAnsi="Arial"/>
                <w:color w:val="141414"/>
                <w:sz w:val="14"/>
              </w:rPr>
              <w:t>Completed delivery entry</w:t>
            </w:r>
          </w:p>
        </w:tc>
        <w:tc>
          <w:tcPr>
            <w:tcW w:type="dxa" w:w="4824"/>
            <w:tcMar>
              <w:top w:w="70" w:type="dxa"/>
              <w:start w:w="80" w:type="dxa"/>
              <w:bottom w:w="70" w:type="dxa"/>
              <w:end w:w="80" w:type="dxa"/>
            </w:tcMar>
            <w:vAlign w:val="center"/>
          </w:tcPr>
          <w:p>
            <w:pPr>
              <w:spacing w:after="0" w:line="240" w:lineRule="auto"/>
            </w:pPr>
            <w:r>
              <w:rPr>
                <w:rFonts w:ascii="Arial" w:hAnsi="Arial"/>
                <w:color w:val="141414"/>
                <w:sz w:val="14"/>
              </w:rPr>
              <w:t>Operations shall be able to create a delivery transaction record after the actual delivery is completed.</w:t>
            </w:r>
          </w:p>
        </w:tc>
        <w:tc>
          <w:tcPr>
            <w:tcW w:type="dxa" w:w="1037"/>
            <w:tcMar>
              <w:top w:w="70" w:type="dxa"/>
              <w:start w:w="80" w:type="dxa"/>
              <w:bottom w:w="70" w:type="dxa"/>
              <w:end w:w="80" w:type="dxa"/>
            </w:tcMar>
            <w:vAlign w:val="center"/>
          </w:tcPr>
          <w:p>
            <w:r>
              <w:t>High</w:t>
            </w:r>
          </w:p>
        </w:tc>
        <w:tc>
          <w:tcPr>
            <w:tcW w:type="dxa" w:w="1800"/>
            <w:tcMar>
              <w:top w:w="70" w:type="dxa"/>
              <w:start w:w="80" w:type="dxa"/>
              <w:bottom w:w="70" w:type="dxa"/>
              <w:end w:w="80" w:type="dxa"/>
            </w:tcMar>
            <w:vAlign w:val="center"/>
          </w:tcPr>
          <w:p>
            <w:pPr>
              <w:spacing w:after="0" w:line="240" w:lineRule="auto"/>
            </w:pPr>
            <w:r>
              <w:rPr>
                <w:rFonts w:ascii="Arial" w:hAnsi="Arial"/>
                <w:color w:val="141414"/>
                <w:sz w:val="14"/>
              </w:rPr>
              <w:t>User can create and retrieve a post-delivery record.</w:t>
            </w:r>
          </w:p>
        </w:tc>
      </w:tr>
      <w:tr>
        <w:trPr>
          <w:cantSplit/>
        </w:trPr>
        <w:tc>
          <w:tcPr>
            <w:tcW w:type="dxa" w:w="936"/>
            <w:tcMar>
              <w:top w:w="70" w:type="dxa"/>
              <w:start w:w="80" w:type="dxa"/>
              <w:bottom w:w="70" w:type="dxa"/>
              <w:end w:w="80" w:type="dxa"/>
            </w:tcMar>
            <w:vAlign w:val="center"/>
            <w:shd w:fill="F7F7F7"/>
          </w:tcPr>
          <w:p>
            <w:pPr>
              <w:spacing w:after="0" w:line="240" w:lineRule="auto"/>
            </w:pPr>
            <w:r>
              <w:rPr>
                <w:rFonts w:ascii="Arial" w:hAnsi="Arial"/>
                <w:color w:val="141414"/>
                <w:sz w:val="14"/>
              </w:rPr>
              <w:t>REQ-006</w:t>
            </w:r>
          </w:p>
        </w:tc>
        <w:tc>
          <w:tcPr>
            <w:tcW w:type="dxa" w:w="1512"/>
            <w:tcMar>
              <w:top w:w="70" w:type="dxa"/>
              <w:start w:w="80" w:type="dxa"/>
              <w:bottom w:w="70" w:type="dxa"/>
              <w:end w:w="80" w:type="dxa"/>
            </w:tcMar>
            <w:vAlign w:val="center"/>
            <w:shd w:fill="F7F7F7"/>
          </w:tcPr>
          <w:p>
            <w:pPr>
              <w:spacing w:after="0" w:line="240" w:lineRule="auto"/>
            </w:pPr>
            <w:r>
              <w:rPr>
                <w:rFonts w:ascii="Arial" w:hAnsi="Arial"/>
                <w:color w:val="141414"/>
                <w:sz w:val="14"/>
              </w:rPr>
              <w:t>Delivery details</w:t>
            </w:r>
          </w:p>
        </w:tc>
        <w:tc>
          <w:tcPr>
            <w:tcW w:type="dxa" w:w="4824"/>
            <w:tcMar>
              <w:top w:w="70" w:type="dxa"/>
              <w:start w:w="80" w:type="dxa"/>
              <w:bottom w:w="70" w:type="dxa"/>
              <w:end w:w="80" w:type="dxa"/>
            </w:tcMar>
            <w:vAlign w:val="center"/>
            <w:shd w:fill="F7F7F7"/>
          </w:tcPr>
          <w:p>
            <w:pPr>
              <w:spacing w:after="0" w:line="240" w:lineRule="auto"/>
            </w:pPr>
            <w:r>
              <w:rPr>
                <w:rFonts w:ascii="Arial" w:hAnsi="Arial"/>
                <w:color w:val="141414"/>
                <w:sz w:val="14"/>
              </w:rPr>
              <w:t>A delivery record shall support a unique delivery identifier, client, truck, driver/helper assignments, route or delivery locations, delivery date, relevant timestamps, revenue, delivery-attributable expenses, remarks, and POD linkage.</w:t>
            </w:r>
          </w:p>
        </w:tc>
        <w:tc>
          <w:tcPr>
            <w:tcW w:type="dxa" w:w="1037"/>
            <w:tcMar>
              <w:top w:w="70" w:type="dxa"/>
              <w:start w:w="80" w:type="dxa"/>
              <w:bottom w:w="70" w:type="dxa"/>
              <w:end w:w="80" w:type="dxa"/>
            </w:tcMar>
            <w:vAlign w:val="center"/>
            <w:shd w:fill="F7F7F7"/>
          </w:tcPr>
          <w:p>
            <w:r>
              <w:t>High</w:t>
            </w:r>
          </w:p>
        </w:tc>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4"/>
              </w:rPr>
              <w:t>Required fields follow the client-approved validation matrix.</w:t>
            </w:r>
          </w:p>
        </w:tc>
      </w:tr>
      <w:tr>
        <w:trPr>
          <w:cantSplit/>
        </w:trPr>
        <w:tc>
          <w:tcPr>
            <w:tcW w:type="dxa" w:w="936"/>
            <w:tcMar>
              <w:top w:w="70" w:type="dxa"/>
              <w:start w:w="80" w:type="dxa"/>
              <w:bottom w:w="70" w:type="dxa"/>
              <w:end w:w="80" w:type="dxa"/>
            </w:tcMar>
            <w:vAlign w:val="center"/>
          </w:tcPr>
          <w:p>
            <w:pPr>
              <w:spacing w:after="0" w:line="240" w:lineRule="auto"/>
            </w:pPr>
            <w:r>
              <w:rPr>
                <w:rFonts w:ascii="Arial" w:hAnsi="Arial"/>
                <w:color w:val="141414"/>
                <w:sz w:val="14"/>
              </w:rPr>
              <w:t>REQ-007</w:t>
            </w:r>
          </w:p>
        </w:tc>
        <w:tc>
          <w:tcPr>
            <w:tcW w:type="dxa" w:w="1512"/>
            <w:tcMar>
              <w:top w:w="70" w:type="dxa"/>
              <w:start w:w="80" w:type="dxa"/>
              <w:bottom w:w="70" w:type="dxa"/>
              <w:end w:w="80" w:type="dxa"/>
            </w:tcMar>
            <w:vAlign w:val="center"/>
          </w:tcPr>
          <w:p>
            <w:pPr>
              <w:spacing w:after="0" w:line="240" w:lineRule="auto"/>
            </w:pPr>
            <w:r>
              <w:rPr>
                <w:rFonts w:ascii="Arial" w:hAnsi="Arial"/>
                <w:color w:val="141414"/>
                <w:sz w:val="14"/>
              </w:rPr>
              <w:t>Timing details</w:t>
            </w:r>
          </w:p>
        </w:tc>
        <w:tc>
          <w:tcPr>
            <w:tcW w:type="dxa" w:w="4824"/>
            <w:tcMar>
              <w:top w:w="70" w:type="dxa"/>
              <w:start w:w="80" w:type="dxa"/>
              <w:bottom w:w="70" w:type="dxa"/>
              <w:end w:w="80" w:type="dxa"/>
            </w:tcMar>
            <w:vAlign w:val="center"/>
          </w:tcPr>
          <w:p>
            <w:pPr>
              <w:spacing w:after="0" w:line="240" w:lineRule="auto"/>
            </w:pPr>
            <w:r>
              <w:rPr>
                <w:rFonts w:ascii="Arial" w:hAnsi="Arial"/>
                <w:color w:val="141414"/>
                <w:sz w:val="14"/>
              </w:rPr>
              <w:t>The system shall support Call Time, ETA/arrival at store, Start Loading, End Loading, and Departure. Definitions and which timestamps are mandatory remain TBD.</w:t>
            </w:r>
          </w:p>
        </w:tc>
        <w:tc>
          <w:tcPr>
            <w:tcW w:type="dxa" w:w="1037"/>
            <w:tcMar>
              <w:top w:w="70" w:type="dxa"/>
              <w:start w:w="80" w:type="dxa"/>
              <w:bottom w:w="70" w:type="dxa"/>
              <w:end w:w="80" w:type="dxa"/>
            </w:tcMar>
            <w:vAlign w:val="center"/>
          </w:tcPr>
          <w:p>
            <w:r>
              <w:t>Medium</w:t>
            </w:r>
          </w:p>
        </w:tc>
        <w:tc>
          <w:tcPr>
            <w:tcW w:type="dxa" w:w="1800"/>
            <w:tcMar>
              <w:top w:w="70" w:type="dxa"/>
              <w:start w:w="80" w:type="dxa"/>
              <w:bottom w:w="70" w:type="dxa"/>
              <w:end w:w="80" w:type="dxa"/>
            </w:tcMar>
            <w:vAlign w:val="center"/>
          </w:tcPr>
          <w:p>
            <w:pPr>
              <w:spacing w:after="0" w:line="240" w:lineRule="auto"/>
            </w:pPr>
            <w:r>
              <w:rPr>
                <w:rFonts w:ascii="Arial" w:hAnsi="Arial"/>
                <w:color w:val="141414"/>
                <w:sz w:val="14"/>
              </w:rPr>
              <w:t>Fields and validations match the approved timing definitions.</w:t>
            </w:r>
          </w:p>
        </w:tc>
      </w:tr>
      <w:tr>
        <w:trPr>
          <w:cantSplit/>
        </w:trPr>
        <w:tc>
          <w:tcPr>
            <w:tcW w:type="dxa" w:w="936"/>
            <w:tcMar>
              <w:top w:w="70" w:type="dxa"/>
              <w:start w:w="80" w:type="dxa"/>
              <w:bottom w:w="70" w:type="dxa"/>
              <w:end w:w="80" w:type="dxa"/>
            </w:tcMar>
            <w:vAlign w:val="center"/>
            <w:shd w:fill="F7F7F7"/>
          </w:tcPr>
          <w:p>
            <w:pPr>
              <w:spacing w:after="0" w:line="240" w:lineRule="auto"/>
            </w:pPr>
            <w:r>
              <w:rPr>
                <w:rFonts w:ascii="Arial" w:hAnsi="Arial"/>
                <w:color w:val="141414"/>
                <w:sz w:val="14"/>
              </w:rPr>
              <w:t>REQ-008</w:t>
            </w:r>
          </w:p>
        </w:tc>
        <w:tc>
          <w:tcPr>
            <w:tcW w:type="dxa" w:w="1512"/>
            <w:tcMar>
              <w:top w:w="70" w:type="dxa"/>
              <w:start w:w="80" w:type="dxa"/>
              <w:bottom w:w="70" w:type="dxa"/>
              <w:end w:w="80" w:type="dxa"/>
            </w:tcMar>
            <w:vAlign w:val="center"/>
            <w:shd w:fill="F7F7F7"/>
          </w:tcPr>
          <w:p>
            <w:pPr>
              <w:spacing w:after="0" w:line="240" w:lineRule="auto"/>
            </w:pPr>
            <w:r>
              <w:rPr>
                <w:rFonts w:ascii="Arial" w:hAnsi="Arial"/>
                <w:color w:val="141414"/>
                <w:sz w:val="14"/>
              </w:rPr>
              <w:t>Revenue and charges</w:t>
            </w:r>
          </w:p>
        </w:tc>
        <w:tc>
          <w:tcPr>
            <w:tcW w:type="dxa" w:w="4824"/>
            <w:tcMar>
              <w:top w:w="70" w:type="dxa"/>
              <w:start w:w="80" w:type="dxa"/>
              <w:bottom w:w="70" w:type="dxa"/>
              <w:end w:w="80" w:type="dxa"/>
            </w:tcMar>
            <w:vAlign w:val="center"/>
            <w:shd w:fill="F7F7F7"/>
          </w:tcPr>
          <w:p>
            <w:pPr>
              <w:spacing w:after="0" w:line="240" w:lineRule="auto"/>
            </w:pPr>
            <w:r>
              <w:rPr>
                <w:rFonts w:ascii="Arial" w:hAnsi="Arial"/>
                <w:color w:val="141414"/>
                <w:sz w:val="14"/>
              </w:rPr>
              <w:t>The system shall store base delivery revenue and approved additional revenue charges as separately identifiable entries when required by the confirmed business rule.</w:t>
            </w:r>
          </w:p>
        </w:tc>
        <w:tc>
          <w:tcPr>
            <w:tcW w:type="dxa" w:w="1037"/>
            <w:tcMar>
              <w:top w:w="70" w:type="dxa"/>
              <w:start w:w="80" w:type="dxa"/>
              <w:bottom w:w="70" w:type="dxa"/>
              <w:end w:w="80" w:type="dxa"/>
            </w:tcMar>
            <w:vAlign w:val="center"/>
            <w:shd w:fill="F7F7F7"/>
          </w:tcPr>
          <w:p>
            <w:r>
              <w:t>Medium</w:t>
            </w:r>
          </w:p>
        </w:tc>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4"/>
              </w:rPr>
              <w:t>Base revenue and additional charges remain distinguishable in reports.</w:t>
            </w:r>
          </w:p>
        </w:tc>
      </w:tr>
      <w:tr>
        <w:trPr>
          <w:cantSplit/>
        </w:trPr>
        <w:tc>
          <w:tcPr>
            <w:tcW w:type="dxa" w:w="936"/>
            <w:tcMar>
              <w:top w:w="70" w:type="dxa"/>
              <w:start w:w="80" w:type="dxa"/>
              <w:bottom w:w="70" w:type="dxa"/>
              <w:end w:w="80" w:type="dxa"/>
            </w:tcMar>
            <w:vAlign w:val="center"/>
          </w:tcPr>
          <w:p>
            <w:pPr>
              <w:spacing w:after="0" w:line="240" w:lineRule="auto"/>
            </w:pPr>
            <w:r>
              <w:rPr>
                <w:rFonts w:ascii="Arial" w:hAnsi="Arial"/>
                <w:color w:val="141414"/>
                <w:sz w:val="14"/>
              </w:rPr>
              <w:t>REQ-009</w:t>
            </w:r>
          </w:p>
        </w:tc>
        <w:tc>
          <w:tcPr>
            <w:tcW w:type="dxa" w:w="1512"/>
            <w:tcMar>
              <w:top w:w="70" w:type="dxa"/>
              <w:start w:w="80" w:type="dxa"/>
              <w:bottom w:w="70" w:type="dxa"/>
              <w:end w:w="80" w:type="dxa"/>
            </w:tcMar>
            <w:vAlign w:val="center"/>
          </w:tcPr>
          <w:p>
            <w:pPr>
              <w:spacing w:after="0" w:line="240" w:lineRule="auto"/>
            </w:pPr>
            <w:r>
              <w:rPr>
                <w:rFonts w:ascii="Arial" w:hAnsi="Arial"/>
                <w:color w:val="141414"/>
                <w:sz w:val="14"/>
              </w:rPr>
              <w:t>Delivery expenses</w:t>
            </w:r>
          </w:p>
        </w:tc>
        <w:tc>
          <w:tcPr>
            <w:tcW w:type="dxa" w:w="4824"/>
            <w:tcMar>
              <w:top w:w="70" w:type="dxa"/>
              <w:start w:w="80" w:type="dxa"/>
              <w:bottom w:w="70" w:type="dxa"/>
              <w:end w:w="80" w:type="dxa"/>
            </w:tcMar>
            <w:vAlign w:val="center"/>
          </w:tcPr>
          <w:p>
            <w:pPr>
              <w:spacing w:after="0" w:line="240" w:lineRule="auto"/>
            </w:pPr>
            <w:r>
              <w:rPr>
                <w:rFonts w:ascii="Arial" w:hAnsi="Arial"/>
                <w:color w:val="141414"/>
                <w:sz w:val="14"/>
              </w:rPr>
              <w:t>The system shall support delivery-attributable expense entries. Candidate labels in the documents include Fuel, Labor, Toll, Other, Permits, Entry Fees, Overtime, Demurrage, and Additional Drops; each label’s classification must be approved.</w:t>
            </w:r>
          </w:p>
        </w:tc>
        <w:tc>
          <w:tcPr>
            <w:tcW w:type="dxa" w:w="1037"/>
            <w:tcMar>
              <w:top w:w="70" w:type="dxa"/>
              <w:start w:w="80" w:type="dxa"/>
              <w:bottom w:w="70" w:type="dxa"/>
              <w:end w:w="80" w:type="dxa"/>
            </w:tcMar>
            <w:vAlign w:val="center"/>
          </w:tcPr>
          <w:p>
            <w:r>
              <w:t>High</w:t>
            </w:r>
          </w:p>
        </w:tc>
        <w:tc>
          <w:tcPr>
            <w:tcW w:type="dxa" w:w="1800"/>
            <w:tcMar>
              <w:top w:w="70" w:type="dxa"/>
              <w:start w:w="80" w:type="dxa"/>
              <w:bottom w:w="70" w:type="dxa"/>
              <w:end w:w="80" w:type="dxa"/>
            </w:tcMar>
            <w:vAlign w:val="center"/>
          </w:tcPr>
          <w:p>
            <w:pPr>
              <w:spacing w:after="0" w:line="240" w:lineRule="auto"/>
            </w:pPr>
            <w:r>
              <w:rPr>
                <w:rFonts w:ascii="Arial" w:hAnsi="Arial"/>
                <w:color w:val="141414"/>
                <w:sz w:val="14"/>
              </w:rPr>
              <w:t>Each entry uses an approved category and treatment.</w:t>
            </w:r>
          </w:p>
        </w:tc>
      </w:tr>
      <w:tr>
        <w:trPr>
          <w:cantSplit/>
        </w:trPr>
        <w:tc>
          <w:tcPr>
            <w:tcW w:type="dxa" w:w="936"/>
            <w:tcMar>
              <w:top w:w="70" w:type="dxa"/>
              <w:start w:w="80" w:type="dxa"/>
              <w:bottom w:w="70" w:type="dxa"/>
              <w:end w:w="80" w:type="dxa"/>
            </w:tcMar>
            <w:vAlign w:val="center"/>
            <w:shd w:fill="F7F7F7"/>
          </w:tcPr>
          <w:p>
            <w:pPr>
              <w:spacing w:after="0" w:line="240" w:lineRule="auto"/>
            </w:pPr>
            <w:r>
              <w:rPr>
                <w:rFonts w:ascii="Arial" w:hAnsi="Arial"/>
                <w:color w:val="141414"/>
                <w:sz w:val="14"/>
              </w:rPr>
              <w:t>REQ-010</w:t>
            </w:r>
          </w:p>
        </w:tc>
        <w:tc>
          <w:tcPr>
            <w:tcW w:type="dxa" w:w="1512"/>
            <w:tcMar>
              <w:top w:w="70" w:type="dxa"/>
              <w:start w:w="80" w:type="dxa"/>
              <w:bottom w:w="70" w:type="dxa"/>
              <w:end w:w="80" w:type="dxa"/>
            </w:tcMar>
            <w:vAlign w:val="center"/>
            <w:shd w:fill="F7F7F7"/>
          </w:tcPr>
          <w:p>
            <w:pPr>
              <w:spacing w:after="0" w:line="240" w:lineRule="auto"/>
            </w:pPr>
            <w:r>
              <w:rPr>
                <w:rFonts w:ascii="Arial" w:hAnsi="Arial"/>
                <w:color w:val="141414"/>
                <w:sz w:val="14"/>
              </w:rPr>
              <w:t>Delivery calculation</w:t>
            </w:r>
          </w:p>
        </w:tc>
        <w:tc>
          <w:tcPr>
            <w:tcW w:type="dxa" w:w="4824"/>
            <w:tcMar>
              <w:top w:w="70" w:type="dxa"/>
              <w:start w:w="80" w:type="dxa"/>
              <w:bottom w:w="70" w:type="dxa"/>
              <w:end w:w="80" w:type="dxa"/>
            </w:tcMar>
            <w:vAlign w:val="center"/>
            <w:shd w:fill="F7F7F7"/>
          </w:tcPr>
          <w:p>
            <w:pPr>
              <w:spacing w:after="0" w:line="240" w:lineRule="auto"/>
            </w:pPr>
            <w:r>
              <w:rPr>
                <w:rFonts w:ascii="Arial" w:hAnsi="Arial"/>
                <w:color w:val="141414"/>
                <w:sz w:val="14"/>
              </w:rPr>
              <w:t>The system shall calculate delivery-level financial metrics from recorded values using a client-approved formula and shall not allow derived margin values to be directly edited.</w:t>
            </w:r>
          </w:p>
        </w:tc>
        <w:tc>
          <w:tcPr>
            <w:tcW w:type="dxa" w:w="1037"/>
            <w:tcMar>
              <w:top w:w="70" w:type="dxa"/>
              <w:start w:w="80" w:type="dxa"/>
              <w:bottom w:w="70" w:type="dxa"/>
              <w:end w:w="80" w:type="dxa"/>
            </w:tcMar>
            <w:vAlign w:val="center"/>
            <w:shd w:fill="F7F7F7"/>
          </w:tcPr>
          <w:p>
            <w:r>
              <w:t>High</w:t>
            </w:r>
          </w:p>
        </w:tc>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4"/>
              </w:rPr>
              <w:t>Test examples reconcile with an approved formula, including zero/reversal edge cases.</w:t>
            </w:r>
          </w:p>
        </w:tc>
      </w:tr>
      <w:tr>
        <w:trPr>
          <w:cantSplit/>
        </w:trPr>
        <w:tc>
          <w:tcPr>
            <w:tcW w:type="dxa" w:w="936"/>
            <w:tcMar>
              <w:top w:w="70" w:type="dxa"/>
              <w:start w:w="80" w:type="dxa"/>
              <w:bottom w:w="70" w:type="dxa"/>
              <w:end w:w="80" w:type="dxa"/>
            </w:tcMar>
            <w:vAlign w:val="center"/>
          </w:tcPr>
          <w:p>
            <w:pPr>
              <w:spacing w:after="0" w:line="240" w:lineRule="auto"/>
            </w:pPr>
            <w:r>
              <w:rPr>
                <w:rFonts w:ascii="Arial" w:hAnsi="Arial"/>
                <w:color w:val="141414"/>
                <w:sz w:val="14"/>
              </w:rPr>
              <w:t>REQ-011</w:t>
            </w:r>
          </w:p>
        </w:tc>
        <w:tc>
          <w:tcPr>
            <w:tcW w:type="dxa" w:w="1512"/>
            <w:tcMar>
              <w:top w:w="70" w:type="dxa"/>
              <w:start w:w="80" w:type="dxa"/>
              <w:bottom w:w="70" w:type="dxa"/>
              <w:end w:w="80" w:type="dxa"/>
            </w:tcMar>
            <w:vAlign w:val="center"/>
          </w:tcPr>
          <w:p>
            <w:pPr>
              <w:spacing w:after="0" w:line="240" w:lineRule="auto"/>
            </w:pPr>
            <w:r>
              <w:rPr>
                <w:rFonts w:ascii="Arial" w:hAnsi="Arial"/>
                <w:color w:val="141414"/>
                <w:sz w:val="14"/>
              </w:rPr>
              <w:t>POD documents</w:t>
            </w:r>
          </w:p>
        </w:tc>
        <w:tc>
          <w:tcPr>
            <w:tcW w:type="dxa" w:w="4824"/>
            <w:tcMar>
              <w:top w:w="70" w:type="dxa"/>
              <w:start w:w="80" w:type="dxa"/>
              <w:bottom w:w="70" w:type="dxa"/>
              <w:end w:w="80" w:type="dxa"/>
            </w:tcMar>
            <w:vAlign w:val="center"/>
          </w:tcPr>
          <w:p>
            <w:pPr>
              <w:spacing w:after="0" w:line="240" w:lineRule="auto"/>
            </w:pPr>
            <w:r>
              <w:rPr>
                <w:rFonts w:ascii="Arial" w:hAnsi="Arial"/>
                <w:color w:val="141414"/>
                <w:sz w:val="14"/>
              </w:rPr>
              <w:t>Authorized users shall be able to upload, associate, retrieve, and view supported POD files for a delivery, subject to access permissions.</w:t>
            </w:r>
          </w:p>
        </w:tc>
        <w:tc>
          <w:tcPr>
            <w:tcW w:type="dxa" w:w="1037"/>
            <w:tcMar>
              <w:top w:w="70" w:type="dxa"/>
              <w:start w:w="80" w:type="dxa"/>
              <w:bottom w:w="70" w:type="dxa"/>
              <w:end w:w="80" w:type="dxa"/>
            </w:tcMar>
            <w:vAlign w:val="center"/>
          </w:tcPr>
          <w:p>
            <w:r>
              <w:t>Medium</w:t>
            </w:r>
          </w:p>
        </w:tc>
        <w:tc>
          <w:tcPr>
            <w:tcW w:type="dxa" w:w="1800"/>
            <w:tcMar>
              <w:top w:w="70" w:type="dxa"/>
              <w:start w:w="80" w:type="dxa"/>
              <w:bottom w:w="70" w:type="dxa"/>
              <w:end w:w="80" w:type="dxa"/>
            </w:tcMar>
            <w:vAlign w:val="center"/>
          </w:tcPr>
          <w:p>
            <w:pPr>
              <w:spacing w:after="0" w:line="240" w:lineRule="auto"/>
            </w:pPr>
            <w:r>
              <w:rPr>
                <w:rFonts w:ascii="Arial" w:hAnsi="Arial"/>
                <w:color w:val="141414"/>
                <w:sz w:val="14"/>
              </w:rPr>
              <w:t>A POD is linked to the correct delivery and unauthorized access is denied.</w:t>
            </w:r>
          </w:p>
        </w:tc>
      </w:tr>
      <w:tr>
        <w:trPr>
          <w:cantSplit/>
        </w:trPr>
        <w:tc>
          <w:tcPr>
            <w:tcW w:type="dxa" w:w="936"/>
            <w:tcMar>
              <w:top w:w="70" w:type="dxa"/>
              <w:start w:w="80" w:type="dxa"/>
              <w:bottom w:w="70" w:type="dxa"/>
              <w:end w:w="80" w:type="dxa"/>
            </w:tcMar>
            <w:vAlign w:val="center"/>
            <w:shd w:fill="F7F7F7"/>
          </w:tcPr>
          <w:p>
            <w:pPr>
              <w:spacing w:after="0" w:line="240" w:lineRule="auto"/>
            </w:pPr>
            <w:r>
              <w:rPr>
                <w:rFonts w:ascii="Arial" w:hAnsi="Arial"/>
                <w:color w:val="141414"/>
                <w:sz w:val="14"/>
              </w:rPr>
              <w:t>REQ-012</w:t>
            </w:r>
          </w:p>
        </w:tc>
        <w:tc>
          <w:tcPr>
            <w:tcW w:type="dxa" w:w="1512"/>
            <w:tcMar>
              <w:top w:w="70" w:type="dxa"/>
              <w:start w:w="80" w:type="dxa"/>
              <w:bottom w:w="70" w:type="dxa"/>
              <w:end w:w="80" w:type="dxa"/>
            </w:tcMar>
            <w:vAlign w:val="center"/>
            <w:shd w:fill="F7F7F7"/>
          </w:tcPr>
          <w:p>
            <w:pPr>
              <w:spacing w:after="0" w:line="240" w:lineRule="auto"/>
            </w:pPr>
            <w:r>
              <w:rPr>
                <w:rFonts w:ascii="Arial" w:hAnsi="Arial"/>
                <w:color w:val="141414"/>
                <w:sz w:val="14"/>
              </w:rPr>
              <w:t>Company expenses</w:t>
            </w:r>
          </w:p>
        </w:tc>
        <w:tc>
          <w:tcPr>
            <w:tcW w:type="dxa" w:w="4824"/>
            <w:tcMar>
              <w:top w:w="70" w:type="dxa"/>
              <w:start w:w="80" w:type="dxa"/>
              <w:bottom w:w="70" w:type="dxa"/>
              <w:end w:w="80" w:type="dxa"/>
            </w:tcMar>
            <w:vAlign w:val="center"/>
            <w:shd w:fill="F7F7F7"/>
          </w:tcPr>
          <w:p>
            <w:pPr>
              <w:spacing w:after="0" w:line="240" w:lineRule="auto"/>
            </w:pPr>
            <w:r>
              <w:rPr>
                <w:rFonts w:ascii="Arial" w:hAnsi="Arial"/>
                <w:color w:val="141414"/>
                <w:sz w:val="14"/>
              </w:rPr>
              <w:t>Finance shall maintain expenses not directly attributable to a specific delivery, including date, category, description, amount, and supporting attachment/notes where applicable.</w:t>
            </w:r>
          </w:p>
        </w:tc>
        <w:tc>
          <w:tcPr>
            <w:tcW w:type="dxa" w:w="1037"/>
            <w:tcMar>
              <w:top w:w="70" w:type="dxa"/>
              <w:start w:w="80" w:type="dxa"/>
              <w:bottom w:w="70" w:type="dxa"/>
              <w:end w:w="80" w:type="dxa"/>
            </w:tcMar>
            <w:vAlign w:val="center"/>
            <w:shd w:fill="F7F7F7"/>
          </w:tcPr>
          <w:p>
            <w:r>
              <w:t>High</w:t>
            </w:r>
          </w:p>
        </w:tc>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4"/>
              </w:rPr>
              <w:t>Company expenses remain separately identifiable from delivery costs.</w:t>
            </w:r>
          </w:p>
        </w:tc>
      </w:tr>
      <w:tr>
        <w:trPr>
          <w:cantSplit/>
        </w:trPr>
        <w:tc>
          <w:tcPr>
            <w:tcW w:type="dxa" w:w="936"/>
            <w:tcMar>
              <w:top w:w="70" w:type="dxa"/>
              <w:start w:w="80" w:type="dxa"/>
              <w:bottom w:w="70" w:type="dxa"/>
              <w:end w:w="80" w:type="dxa"/>
            </w:tcMar>
            <w:vAlign w:val="center"/>
          </w:tcPr>
          <w:p>
            <w:pPr>
              <w:spacing w:after="0" w:line="240" w:lineRule="auto"/>
            </w:pPr>
            <w:r>
              <w:rPr>
                <w:rFonts w:ascii="Arial" w:hAnsi="Arial"/>
                <w:color w:val="141414"/>
                <w:sz w:val="14"/>
              </w:rPr>
              <w:t>REQ-013</w:t>
            </w:r>
          </w:p>
        </w:tc>
        <w:tc>
          <w:tcPr>
            <w:tcW w:type="dxa" w:w="1512"/>
            <w:tcMar>
              <w:top w:w="70" w:type="dxa"/>
              <w:start w:w="80" w:type="dxa"/>
              <w:bottom w:w="70" w:type="dxa"/>
              <w:end w:w="80" w:type="dxa"/>
            </w:tcMar>
            <w:vAlign w:val="center"/>
          </w:tcPr>
          <w:p>
            <w:pPr>
              <w:spacing w:after="0" w:line="240" w:lineRule="auto"/>
            </w:pPr>
            <w:r>
              <w:rPr>
                <w:rFonts w:ascii="Arial" w:hAnsi="Arial"/>
                <w:color w:val="141414"/>
                <w:sz w:val="14"/>
              </w:rPr>
              <w:t>Compensation summaries</w:t>
            </w:r>
          </w:p>
        </w:tc>
        <w:tc>
          <w:tcPr>
            <w:tcW w:type="dxa" w:w="4824"/>
            <w:tcMar>
              <w:top w:w="70" w:type="dxa"/>
              <w:start w:w="80" w:type="dxa"/>
              <w:bottom w:w="70" w:type="dxa"/>
              <w:end w:w="80" w:type="dxa"/>
            </w:tcMar>
            <w:vAlign w:val="center"/>
          </w:tcPr>
          <w:p>
            <w:pPr>
              <w:spacing w:after="0" w:line="240" w:lineRule="auto"/>
            </w:pPr>
            <w:r>
              <w:rPr>
                <w:rFonts w:ascii="Arial" w:hAnsi="Arial"/>
                <w:color w:val="141414"/>
                <w:sz w:val="14"/>
              </w:rPr>
              <w:t>HR shall record or summarize amounts payable to staff, drivers, and helpers for an approved period. The requirement does not assume an end-to-end payroll calculation.</w:t>
            </w:r>
          </w:p>
        </w:tc>
        <w:tc>
          <w:tcPr>
            <w:tcW w:type="dxa" w:w="1037"/>
            <w:tcMar>
              <w:top w:w="70" w:type="dxa"/>
              <w:start w:w="80" w:type="dxa"/>
              <w:bottom w:w="70" w:type="dxa"/>
              <w:end w:w="80" w:type="dxa"/>
            </w:tcMar>
            <w:vAlign w:val="center"/>
          </w:tcPr>
          <w:p>
            <w:r>
              <w:t>Medium</w:t>
            </w:r>
          </w:p>
        </w:tc>
        <w:tc>
          <w:tcPr>
            <w:tcW w:type="dxa" w:w="1800"/>
            <w:tcMar>
              <w:top w:w="70" w:type="dxa"/>
              <w:start w:w="80" w:type="dxa"/>
              <w:bottom w:w="70" w:type="dxa"/>
              <w:end w:w="80" w:type="dxa"/>
            </w:tcMar>
            <w:vAlign w:val="center"/>
          </w:tcPr>
          <w:p>
            <w:pPr>
              <w:spacing w:after="0" w:line="240" w:lineRule="auto"/>
            </w:pPr>
            <w:r>
              <w:rPr>
                <w:rFonts w:ascii="Arial" w:hAnsi="Arial"/>
                <w:color w:val="141414"/>
                <w:sz w:val="14"/>
              </w:rPr>
              <w:t>Approved summary fields and rules are implemented; unresolved payroll computations stay excluded.</w:t>
            </w:r>
          </w:p>
        </w:tc>
      </w:tr>
      <w:tr>
        <w:trPr>
          <w:cantSplit/>
        </w:trPr>
        <w:tc>
          <w:tcPr>
            <w:tcW w:type="dxa" w:w="936"/>
            <w:tcMar>
              <w:top w:w="70" w:type="dxa"/>
              <w:start w:w="80" w:type="dxa"/>
              <w:bottom w:w="70" w:type="dxa"/>
              <w:end w:w="80" w:type="dxa"/>
            </w:tcMar>
            <w:vAlign w:val="center"/>
            <w:shd w:fill="F7F7F7"/>
          </w:tcPr>
          <w:p>
            <w:pPr>
              <w:spacing w:after="0" w:line="240" w:lineRule="auto"/>
            </w:pPr>
            <w:r>
              <w:rPr>
                <w:rFonts w:ascii="Arial" w:hAnsi="Arial"/>
                <w:color w:val="141414"/>
                <w:sz w:val="14"/>
              </w:rPr>
              <w:t>REQ-014</w:t>
            </w:r>
          </w:p>
        </w:tc>
        <w:tc>
          <w:tcPr>
            <w:tcW w:type="dxa" w:w="1512"/>
            <w:tcMar>
              <w:top w:w="70" w:type="dxa"/>
              <w:start w:w="80" w:type="dxa"/>
              <w:bottom w:w="70" w:type="dxa"/>
              <w:end w:w="80" w:type="dxa"/>
            </w:tcMar>
            <w:vAlign w:val="center"/>
            <w:shd w:fill="F7F7F7"/>
          </w:tcPr>
          <w:p>
            <w:pPr>
              <w:spacing w:after="0" w:line="240" w:lineRule="auto"/>
            </w:pPr>
            <w:r>
              <w:rPr>
                <w:rFonts w:ascii="Arial" w:hAnsi="Arial"/>
                <w:color w:val="141414"/>
                <w:sz w:val="14"/>
              </w:rPr>
              <w:t>Global search</w:t>
            </w:r>
          </w:p>
        </w:tc>
        <w:tc>
          <w:tcPr>
            <w:tcW w:type="dxa" w:w="4824"/>
            <w:tcMar>
              <w:top w:w="70" w:type="dxa"/>
              <w:start w:w="80" w:type="dxa"/>
              <w:bottom w:w="70" w:type="dxa"/>
              <w:end w:w="80" w:type="dxa"/>
            </w:tcMar>
            <w:vAlign w:val="center"/>
            <w:shd w:fill="F7F7F7"/>
          </w:tcPr>
          <w:p>
            <w:pPr>
              <w:spacing w:after="0" w:line="240" w:lineRule="auto"/>
            </w:pPr>
            <w:r>
              <w:rPr>
                <w:rFonts w:ascii="Arial" w:hAnsi="Arial"/>
                <w:color w:val="141414"/>
                <w:sz w:val="14"/>
              </w:rPr>
              <w:t>Authorized users shall search relevant delivery, truck, client, employee, and transaction records using identifiers/text such as plate number, delivery ID, driver, client, and date.</w:t>
            </w:r>
          </w:p>
        </w:tc>
        <w:tc>
          <w:tcPr>
            <w:tcW w:type="dxa" w:w="1037"/>
            <w:tcMar>
              <w:top w:w="70" w:type="dxa"/>
              <w:start w:w="80" w:type="dxa"/>
              <w:bottom w:w="70" w:type="dxa"/>
              <w:end w:w="80" w:type="dxa"/>
            </w:tcMar>
            <w:vAlign w:val="center"/>
            <w:shd w:fill="F7F7F7"/>
          </w:tcPr>
          <w:p>
            <w:r>
              <w:t>High</w:t>
            </w:r>
          </w:p>
        </w:tc>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4"/>
              </w:rPr>
              <w:t>Search returns matching permitted records and respects authorization.</w:t>
            </w:r>
          </w:p>
        </w:tc>
      </w:tr>
      <w:tr>
        <w:trPr>
          <w:cantSplit/>
        </w:trPr>
        <w:tc>
          <w:tcPr>
            <w:tcW w:type="dxa" w:w="936"/>
            <w:tcMar>
              <w:top w:w="70" w:type="dxa"/>
              <w:start w:w="80" w:type="dxa"/>
              <w:bottom w:w="70" w:type="dxa"/>
              <w:end w:w="80" w:type="dxa"/>
            </w:tcMar>
            <w:vAlign w:val="center"/>
          </w:tcPr>
          <w:p>
            <w:pPr>
              <w:spacing w:after="0" w:line="240" w:lineRule="auto"/>
            </w:pPr>
            <w:r>
              <w:rPr>
                <w:rFonts w:ascii="Arial" w:hAnsi="Arial"/>
                <w:color w:val="141414"/>
                <w:sz w:val="14"/>
              </w:rPr>
              <w:t>REQ-015</w:t>
            </w:r>
          </w:p>
        </w:tc>
        <w:tc>
          <w:tcPr>
            <w:tcW w:type="dxa" w:w="1512"/>
            <w:tcMar>
              <w:top w:w="70" w:type="dxa"/>
              <w:start w:w="80" w:type="dxa"/>
              <w:bottom w:w="70" w:type="dxa"/>
              <w:end w:w="80" w:type="dxa"/>
            </w:tcMar>
            <w:vAlign w:val="center"/>
          </w:tcPr>
          <w:p>
            <w:pPr>
              <w:spacing w:after="0" w:line="240" w:lineRule="auto"/>
            </w:pPr>
            <w:r>
              <w:rPr>
                <w:rFonts w:ascii="Arial" w:hAnsi="Arial"/>
                <w:color w:val="141414"/>
                <w:sz w:val="14"/>
              </w:rPr>
              <w:t>Date filters</w:t>
            </w:r>
          </w:p>
        </w:tc>
        <w:tc>
          <w:tcPr>
            <w:tcW w:type="dxa" w:w="4824"/>
            <w:tcMar>
              <w:top w:w="70" w:type="dxa"/>
              <w:start w:w="80" w:type="dxa"/>
              <w:bottom w:w="70" w:type="dxa"/>
              <w:end w:w="80" w:type="dxa"/>
            </w:tcMar>
            <w:vAlign w:val="center"/>
          </w:tcPr>
          <w:p>
            <w:pPr>
              <w:spacing w:after="0" w:line="240" w:lineRule="auto"/>
            </w:pPr>
            <w:r>
              <w:rPr>
                <w:rFonts w:ascii="Arial" w:hAnsi="Arial"/>
                <w:color w:val="141414"/>
                <w:sz w:val="14"/>
              </w:rPr>
              <w:t>The system shall provide date-range filtering for relevant dashboard, truck profile, delivery, and report views. The selected period shall be visible in results and exports where applicable.</w:t>
            </w:r>
          </w:p>
        </w:tc>
        <w:tc>
          <w:tcPr>
            <w:tcW w:type="dxa" w:w="1037"/>
            <w:tcMar>
              <w:top w:w="70" w:type="dxa"/>
              <w:start w:w="80" w:type="dxa"/>
              <w:bottom w:w="70" w:type="dxa"/>
              <w:end w:w="80" w:type="dxa"/>
            </w:tcMar>
            <w:vAlign w:val="center"/>
          </w:tcPr>
          <w:p>
            <w:r>
              <w:t>Medium</w:t>
            </w:r>
          </w:p>
        </w:tc>
        <w:tc>
          <w:tcPr>
            <w:tcW w:type="dxa" w:w="1800"/>
            <w:tcMar>
              <w:top w:w="70" w:type="dxa"/>
              <w:start w:w="80" w:type="dxa"/>
              <w:bottom w:w="70" w:type="dxa"/>
              <w:end w:w="80" w:type="dxa"/>
            </w:tcMar>
            <w:vAlign w:val="center"/>
          </w:tcPr>
          <w:p>
            <w:pPr>
              <w:spacing w:after="0" w:line="240" w:lineRule="auto"/>
            </w:pPr>
            <w:r>
              <w:rPr>
                <w:rFonts w:ascii="Arial" w:hAnsi="Arial"/>
                <w:color w:val="141414"/>
                <w:sz w:val="14"/>
              </w:rPr>
              <w:t>Records and totals correspond to the selected period.</w:t>
            </w:r>
          </w:p>
        </w:tc>
      </w:tr>
      <w:tr>
        <w:trPr>
          <w:cantSplit/>
        </w:trPr>
        <w:tc>
          <w:tcPr>
            <w:tcW w:type="dxa" w:w="936"/>
            <w:tcMar>
              <w:top w:w="70" w:type="dxa"/>
              <w:start w:w="80" w:type="dxa"/>
              <w:bottom w:w="70" w:type="dxa"/>
              <w:end w:w="80" w:type="dxa"/>
            </w:tcMar>
            <w:vAlign w:val="center"/>
            <w:shd w:fill="F7F7F7"/>
          </w:tcPr>
          <w:p>
            <w:pPr>
              <w:spacing w:after="0" w:line="240" w:lineRule="auto"/>
            </w:pPr>
            <w:r>
              <w:rPr>
                <w:rFonts w:ascii="Arial" w:hAnsi="Arial"/>
                <w:color w:val="141414"/>
                <w:sz w:val="14"/>
              </w:rPr>
              <w:t>REQ-016</w:t>
            </w:r>
          </w:p>
        </w:tc>
        <w:tc>
          <w:tcPr>
            <w:tcW w:type="dxa" w:w="1512"/>
            <w:tcMar>
              <w:top w:w="70" w:type="dxa"/>
              <w:start w:w="80" w:type="dxa"/>
              <w:bottom w:w="70" w:type="dxa"/>
              <w:end w:w="80" w:type="dxa"/>
            </w:tcMar>
            <w:vAlign w:val="center"/>
            <w:shd w:fill="F7F7F7"/>
          </w:tcPr>
          <w:p>
            <w:pPr>
              <w:spacing w:after="0" w:line="240" w:lineRule="auto"/>
            </w:pPr>
            <w:r>
              <w:rPr>
                <w:rFonts w:ascii="Arial" w:hAnsi="Arial"/>
                <w:color w:val="141414"/>
                <w:sz w:val="14"/>
              </w:rPr>
              <w:t>Truck history</w:t>
            </w:r>
          </w:p>
        </w:tc>
        <w:tc>
          <w:tcPr>
            <w:tcW w:type="dxa" w:w="4824"/>
            <w:tcMar>
              <w:top w:w="70" w:type="dxa"/>
              <w:start w:w="80" w:type="dxa"/>
              <w:bottom w:w="70" w:type="dxa"/>
              <w:end w:w="80" w:type="dxa"/>
            </w:tcMar>
            <w:vAlign w:val="center"/>
            <w:shd w:fill="F7F7F7"/>
          </w:tcPr>
          <w:p>
            <w:pPr>
              <w:spacing w:after="0" w:line="240" w:lineRule="auto"/>
            </w:pPr>
            <w:r>
              <w:rPr>
                <w:rFonts w:ascii="Arial" w:hAnsi="Arial"/>
                <w:color w:val="141414"/>
                <w:sz w:val="14"/>
              </w:rPr>
              <w:t>The system shall provide a truck profile with delivery history and financial summaries for a selected period, subject to available recorded data and approved calculation rules.</w:t>
            </w:r>
          </w:p>
        </w:tc>
        <w:tc>
          <w:tcPr>
            <w:tcW w:type="dxa" w:w="1037"/>
            <w:tcMar>
              <w:top w:w="70" w:type="dxa"/>
              <w:start w:w="80" w:type="dxa"/>
              <w:bottom w:w="70" w:type="dxa"/>
              <w:end w:w="80" w:type="dxa"/>
            </w:tcMar>
            <w:vAlign w:val="center"/>
            <w:shd w:fill="F7F7F7"/>
          </w:tcPr>
          <w:p>
            <w:r>
              <w:t>High</w:t>
            </w:r>
          </w:p>
        </w:tc>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4"/>
              </w:rPr>
              <w:t>Truck history matches filters; empty state does not imply no activity outside the period.</w:t>
            </w:r>
          </w:p>
        </w:tc>
      </w:tr>
      <w:tr>
        <w:trPr>
          <w:cantSplit/>
        </w:trPr>
        <w:tc>
          <w:tcPr>
            <w:tcW w:type="dxa" w:w="936"/>
            <w:tcMar>
              <w:top w:w="70" w:type="dxa"/>
              <w:start w:w="80" w:type="dxa"/>
              <w:bottom w:w="70" w:type="dxa"/>
              <w:end w:w="80" w:type="dxa"/>
            </w:tcMar>
            <w:vAlign w:val="center"/>
          </w:tcPr>
          <w:p>
            <w:pPr>
              <w:spacing w:after="0" w:line="240" w:lineRule="auto"/>
            </w:pPr>
            <w:r>
              <w:rPr>
                <w:rFonts w:ascii="Arial" w:hAnsi="Arial"/>
                <w:color w:val="141414"/>
                <w:sz w:val="14"/>
              </w:rPr>
              <w:t>REQ-017</w:t>
            </w:r>
          </w:p>
        </w:tc>
        <w:tc>
          <w:tcPr>
            <w:tcW w:type="dxa" w:w="1512"/>
            <w:tcMar>
              <w:top w:w="70" w:type="dxa"/>
              <w:start w:w="80" w:type="dxa"/>
              <w:bottom w:w="70" w:type="dxa"/>
              <w:end w:w="80" w:type="dxa"/>
            </w:tcMar>
            <w:vAlign w:val="center"/>
          </w:tcPr>
          <w:p>
            <w:pPr>
              <w:spacing w:after="0" w:line="240" w:lineRule="auto"/>
            </w:pPr>
            <w:r>
              <w:rPr>
                <w:rFonts w:ascii="Arial" w:hAnsi="Arial"/>
                <w:color w:val="141414"/>
                <w:sz w:val="14"/>
              </w:rPr>
              <w:t>Reports</w:t>
            </w:r>
          </w:p>
        </w:tc>
        <w:tc>
          <w:tcPr>
            <w:tcW w:type="dxa" w:w="4824"/>
            <w:tcMar>
              <w:top w:w="70" w:type="dxa"/>
              <w:start w:w="80" w:type="dxa"/>
              <w:bottom w:w="70" w:type="dxa"/>
              <w:end w:w="80" w:type="dxa"/>
            </w:tcMar>
            <w:vAlign w:val="center"/>
          </w:tcPr>
          <w:p>
            <w:pPr>
              <w:spacing w:after="0" w:line="240" w:lineRule="auto"/>
            </w:pPr>
            <w:r>
              <w:rPr>
                <w:rFonts w:ascii="Arial" w:hAnsi="Arial"/>
                <w:color w:val="141414"/>
                <w:sz w:val="14"/>
              </w:rPr>
              <w:t>The system shall provide operational and financial reports covering delivery activity, revenue, expenses, POD records, and approved profitability metrics.</w:t>
            </w:r>
          </w:p>
        </w:tc>
        <w:tc>
          <w:tcPr>
            <w:tcW w:type="dxa" w:w="1037"/>
            <w:tcMar>
              <w:top w:w="70" w:type="dxa"/>
              <w:start w:w="80" w:type="dxa"/>
              <w:bottom w:w="70" w:type="dxa"/>
              <w:end w:w="80" w:type="dxa"/>
            </w:tcMar>
            <w:vAlign w:val="center"/>
          </w:tcPr>
          <w:p>
            <w:r>
              <w:t>High</w:t>
            </w:r>
          </w:p>
        </w:tc>
        <w:tc>
          <w:tcPr>
            <w:tcW w:type="dxa" w:w="1800"/>
            <w:tcMar>
              <w:top w:w="70" w:type="dxa"/>
              <w:start w:w="80" w:type="dxa"/>
              <w:bottom w:w="70" w:type="dxa"/>
              <w:end w:w="80" w:type="dxa"/>
            </w:tcMar>
            <w:vAlign w:val="center"/>
          </w:tcPr>
          <w:p>
            <w:pPr>
              <w:spacing w:after="0" w:line="240" w:lineRule="auto"/>
            </w:pPr>
            <w:r>
              <w:rPr>
                <w:rFonts w:ascii="Arial" w:hAnsi="Arial"/>
                <w:color w:val="141414"/>
                <w:sz w:val="14"/>
              </w:rPr>
              <w:t>Report figures reconcile with the selected underlying records.</w:t>
            </w:r>
          </w:p>
        </w:tc>
      </w:tr>
      <w:tr>
        <w:trPr>
          <w:cantSplit/>
        </w:trPr>
        <w:tc>
          <w:tcPr>
            <w:tcW w:type="dxa" w:w="936"/>
            <w:tcMar>
              <w:top w:w="70" w:type="dxa"/>
              <w:start w:w="80" w:type="dxa"/>
              <w:bottom w:w="70" w:type="dxa"/>
              <w:end w:w="80" w:type="dxa"/>
            </w:tcMar>
            <w:vAlign w:val="center"/>
            <w:shd w:fill="F7F7F7"/>
          </w:tcPr>
          <w:p>
            <w:pPr>
              <w:spacing w:after="0" w:line="240" w:lineRule="auto"/>
            </w:pPr>
            <w:r>
              <w:rPr>
                <w:rFonts w:ascii="Arial" w:hAnsi="Arial"/>
                <w:color w:val="141414"/>
                <w:sz w:val="14"/>
              </w:rPr>
              <w:t>REQ-018</w:t>
            </w:r>
          </w:p>
        </w:tc>
        <w:tc>
          <w:tcPr>
            <w:tcW w:type="dxa" w:w="1512"/>
            <w:tcMar>
              <w:top w:w="70" w:type="dxa"/>
              <w:start w:w="80" w:type="dxa"/>
              <w:bottom w:w="70" w:type="dxa"/>
              <w:end w:w="80" w:type="dxa"/>
            </w:tcMar>
            <w:vAlign w:val="center"/>
            <w:shd w:fill="F7F7F7"/>
          </w:tcPr>
          <w:p>
            <w:pPr>
              <w:spacing w:after="0" w:line="240" w:lineRule="auto"/>
            </w:pPr>
            <w:r>
              <w:rPr>
                <w:rFonts w:ascii="Arial" w:hAnsi="Arial"/>
                <w:color w:val="141414"/>
                <w:sz w:val="14"/>
              </w:rPr>
              <w:t>Company-level review</w:t>
            </w:r>
          </w:p>
        </w:tc>
        <w:tc>
          <w:tcPr>
            <w:tcW w:type="dxa" w:w="4824"/>
            <w:tcMar>
              <w:top w:w="70" w:type="dxa"/>
              <w:start w:w="80" w:type="dxa"/>
              <w:bottom w:w="70" w:type="dxa"/>
              <w:end w:w="80" w:type="dxa"/>
            </w:tcMar>
            <w:vAlign w:val="center"/>
            <w:shd w:fill="F7F7F7"/>
          </w:tcPr>
          <w:p>
            <w:pPr>
              <w:spacing w:after="0" w:line="240" w:lineRule="auto"/>
            </w:pPr>
            <w:r>
              <w:rPr>
                <w:rFonts w:ascii="Arial" w:hAnsi="Arial"/>
                <w:color w:val="141414"/>
                <w:sz w:val="14"/>
              </w:rPr>
              <w:t>The system shall provide a company-level summary that accounts for delivery results, HR compensation summaries, and non-delivery operating expenses according to the approved financial model.</w:t>
            </w:r>
          </w:p>
        </w:tc>
        <w:tc>
          <w:tcPr>
            <w:tcW w:type="dxa" w:w="1037"/>
            <w:tcMar>
              <w:top w:w="70" w:type="dxa"/>
              <w:start w:w="80" w:type="dxa"/>
              <w:bottom w:w="70" w:type="dxa"/>
              <w:end w:w="80" w:type="dxa"/>
            </w:tcMar>
            <w:vAlign w:val="center"/>
            <w:shd w:fill="F7F7F7"/>
          </w:tcPr>
          <w:p>
            <w:r>
              <w:t>High</w:t>
            </w:r>
          </w:p>
        </w:tc>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4"/>
              </w:rPr>
              <w:t>Reconciled company totals count each underlying expense once.</w:t>
            </w:r>
          </w:p>
        </w:tc>
      </w:tr>
      <w:tr>
        <w:trPr>
          <w:cantSplit/>
        </w:trPr>
        <w:tc>
          <w:tcPr>
            <w:tcW w:type="dxa" w:w="936"/>
            <w:tcMar>
              <w:top w:w="70" w:type="dxa"/>
              <w:start w:w="80" w:type="dxa"/>
              <w:bottom w:w="70" w:type="dxa"/>
              <w:end w:w="80" w:type="dxa"/>
            </w:tcMar>
            <w:vAlign w:val="center"/>
          </w:tcPr>
          <w:p>
            <w:pPr>
              <w:spacing w:after="0" w:line="240" w:lineRule="auto"/>
            </w:pPr>
            <w:r>
              <w:rPr>
                <w:rFonts w:ascii="Arial" w:hAnsi="Arial"/>
                <w:color w:val="141414"/>
                <w:sz w:val="14"/>
              </w:rPr>
              <w:t>REQ-019</w:t>
            </w:r>
          </w:p>
        </w:tc>
        <w:tc>
          <w:tcPr>
            <w:tcW w:type="dxa" w:w="1512"/>
            <w:tcMar>
              <w:top w:w="70" w:type="dxa"/>
              <w:start w:w="80" w:type="dxa"/>
              <w:bottom w:w="70" w:type="dxa"/>
              <w:end w:w="80" w:type="dxa"/>
            </w:tcMar>
            <w:vAlign w:val="center"/>
          </w:tcPr>
          <w:p>
            <w:pPr>
              <w:spacing w:after="0" w:line="240" w:lineRule="auto"/>
            </w:pPr>
            <w:r>
              <w:rPr>
                <w:rFonts w:ascii="Arial" w:hAnsi="Arial"/>
                <w:color w:val="141414"/>
                <w:sz w:val="14"/>
              </w:rPr>
              <w:t>Export and print</w:t>
            </w:r>
          </w:p>
        </w:tc>
        <w:tc>
          <w:tcPr>
            <w:tcW w:type="dxa" w:w="4824"/>
            <w:tcMar>
              <w:top w:w="70" w:type="dxa"/>
              <w:start w:w="80" w:type="dxa"/>
              <w:bottom w:w="70" w:type="dxa"/>
              <w:end w:w="80" w:type="dxa"/>
            </w:tcMar>
            <w:vAlign w:val="center"/>
          </w:tcPr>
          <w:p>
            <w:pPr>
              <w:spacing w:after="0" w:line="240" w:lineRule="auto"/>
            </w:pPr>
            <w:r>
              <w:rPr>
                <w:rFonts w:ascii="Arial" w:hAnsi="Arial"/>
                <w:color w:val="141414"/>
                <w:sz w:val="14"/>
              </w:rPr>
              <w:t>Authorized users shall be able to export or print supported reports with the selected filters and reporting period shown. Exact formats and limits are TBD.</w:t>
            </w:r>
          </w:p>
        </w:tc>
        <w:tc>
          <w:tcPr>
            <w:tcW w:type="dxa" w:w="1037"/>
            <w:tcMar>
              <w:top w:w="70" w:type="dxa"/>
              <w:start w:w="80" w:type="dxa"/>
              <w:bottom w:w="70" w:type="dxa"/>
              <w:end w:w="80" w:type="dxa"/>
            </w:tcMar>
            <w:vAlign w:val="center"/>
          </w:tcPr>
          <w:p>
            <w:r>
              <w:t>Medium</w:t>
            </w:r>
          </w:p>
        </w:tc>
        <w:tc>
          <w:tcPr>
            <w:tcW w:type="dxa" w:w="1800"/>
            <w:tcMar>
              <w:top w:w="70" w:type="dxa"/>
              <w:start w:w="80" w:type="dxa"/>
              <w:bottom w:w="70" w:type="dxa"/>
              <w:end w:w="80" w:type="dxa"/>
            </w:tcMar>
            <w:vAlign w:val="center"/>
          </w:tcPr>
          <w:p>
            <w:pPr>
              <w:spacing w:after="0" w:line="240" w:lineRule="auto"/>
            </w:pPr>
            <w:r>
              <w:rPr>
                <w:rFonts w:ascii="Arial" w:hAnsi="Arial"/>
                <w:color w:val="141414"/>
                <w:sz w:val="14"/>
              </w:rPr>
              <w:t>Export preserves required columns, filters, totals, and reporting period.</w:t>
            </w:r>
          </w:p>
        </w:tc>
      </w:tr>
      <w:tr>
        <w:trPr>
          <w:cantSplit/>
        </w:trPr>
        <w:tc>
          <w:tcPr>
            <w:tcW w:type="dxa" w:w="936"/>
            <w:tcMar>
              <w:top w:w="70" w:type="dxa"/>
              <w:start w:w="80" w:type="dxa"/>
              <w:bottom w:w="70" w:type="dxa"/>
              <w:end w:w="80" w:type="dxa"/>
            </w:tcMar>
            <w:vAlign w:val="center"/>
            <w:shd w:fill="F7F7F7"/>
          </w:tcPr>
          <w:p>
            <w:pPr>
              <w:spacing w:after="0" w:line="240" w:lineRule="auto"/>
            </w:pPr>
            <w:r>
              <w:rPr>
                <w:rFonts w:ascii="Arial" w:hAnsi="Arial"/>
                <w:color w:val="141414"/>
                <w:sz w:val="14"/>
              </w:rPr>
              <w:t>REQ-020</w:t>
            </w:r>
          </w:p>
        </w:tc>
        <w:tc>
          <w:tcPr>
            <w:tcW w:type="dxa" w:w="1512"/>
            <w:tcMar>
              <w:top w:w="70" w:type="dxa"/>
              <w:start w:w="80" w:type="dxa"/>
              <w:bottom w:w="70" w:type="dxa"/>
              <w:end w:w="80" w:type="dxa"/>
            </w:tcMar>
            <w:vAlign w:val="center"/>
            <w:shd w:fill="F7F7F7"/>
          </w:tcPr>
          <w:p>
            <w:pPr>
              <w:spacing w:after="0" w:line="240" w:lineRule="auto"/>
            </w:pPr>
            <w:r>
              <w:rPr>
                <w:rFonts w:ascii="Arial" w:hAnsi="Arial"/>
                <w:color w:val="141414"/>
                <w:sz w:val="14"/>
              </w:rPr>
              <w:t>Activity logs</w:t>
            </w:r>
          </w:p>
        </w:tc>
        <w:tc>
          <w:tcPr>
            <w:tcW w:type="dxa" w:w="4824"/>
            <w:tcMar>
              <w:top w:w="70" w:type="dxa"/>
              <w:start w:w="80" w:type="dxa"/>
              <w:bottom w:w="70" w:type="dxa"/>
              <w:end w:w="80" w:type="dxa"/>
            </w:tcMar>
            <w:vAlign w:val="center"/>
            <w:shd w:fill="F7F7F7"/>
          </w:tcPr>
          <w:p>
            <w:pPr>
              <w:spacing w:after="0" w:line="240" w:lineRule="auto"/>
            </w:pPr>
            <w:r>
              <w:rPr>
                <w:rFonts w:ascii="Arial" w:hAnsi="Arial"/>
                <w:color w:val="141414"/>
                <w:sz w:val="14"/>
              </w:rPr>
              <w:t>The system shall record relevant user actions such as login, record creation, modification, and document upload.</w:t>
            </w:r>
          </w:p>
        </w:tc>
        <w:tc>
          <w:tcPr>
            <w:tcW w:type="dxa" w:w="1037"/>
            <w:tcMar>
              <w:top w:w="70" w:type="dxa"/>
              <w:start w:w="80" w:type="dxa"/>
              <w:bottom w:w="70" w:type="dxa"/>
              <w:end w:w="80" w:type="dxa"/>
            </w:tcMar>
            <w:vAlign w:val="center"/>
            <w:shd w:fill="F7F7F7"/>
          </w:tcPr>
          <w:p>
            <w:r>
              <w:t>Medium</w:t>
            </w:r>
          </w:p>
        </w:tc>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4"/>
              </w:rPr>
              <w:t>Audit/activity records identify actor, action, target, and timestamp where appropriate.</w:t>
            </w:r>
          </w:p>
        </w:tc>
      </w:tr>
      <w:tr>
        <w:trPr>
          <w:cantSplit/>
        </w:trPr>
        <w:tc>
          <w:tcPr>
            <w:tcW w:type="dxa" w:w="936"/>
            <w:tcMar>
              <w:top w:w="70" w:type="dxa"/>
              <w:start w:w="80" w:type="dxa"/>
              <w:bottom w:w="70" w:type="dxa"/>
              <w:end w:w="80" w:type="dxa"/>
            </w:tcMar>
            <w:vAlign w:val="center"/>
          </w:tcPr>
          <w:p>
            <w:pPr>
              <w:spacing w:after="0" w:line="240" w:lineRule="auto"/>
            </w:pPr>
            <w:r>
              <w:rPr>
                <w:rFonts w:ascii="Arial" w:hAnsi="Arial"/>
                <w:color w:val="141414"/>
                <w:sz w:val="14"/>
              </w:rPr>
              <w:t>REQ-021</w:t>
            </w:r>
          </w:p>
        </w:tc>
        <w:tc>
          <w:tcPr>
            <w:tcW w:type="dxa" w:w="1512"/>
            <w:tcMar>
              <w:top w:w="70" w:type="dxa"/>
              <w:start w:w="80" w:type="dxa"/>
              <w:bottom w:w="70" w:type="dxa"/>
              <w:end w:w="80" w:type="dxa"/>
            </w:tcMar>
            <w:vAlign w:val="center"/>
          </w:tcPr>
          <w:p>
            <w:pPr>
              <w:spacing w:after="0" w:line="240" w:lineRule="auto"/>
            </w:pPr>
            <w:r>
              <w:rPr>
                <w:rFonts w:ascii="Arial" w:hAnsi="Arial"/>
                <w:color w:val="141414"/>
                <w:sz w:val="14"/>
              </w:rPr>
              <w:t>Audit trail</w:t>
            </w:r>
          </w:p>
        </w:tc>
        <w:tc>
          <w:tcPr>
            <w:tcW w:type="dxa" w:w="4824"/>
            <w:tcMar>
              <w:top w:w="70" w:type="dxa"/>
              <w:start w:w="80" w:type="dxa"/>
              <w:bottom w:w="70" w:type="dxa"/>
              <w:end w:w="80" w:type="dxa"/>
            </w:tcMar>
            <w:vAlign w:val="center"/>
          </w:tcPr>
          <w:p>
            <w:pPr>
              <w:spacing w:after="0" w:line="240" w:lineRule="auto"/>
            </w:pPr>
            <w:r>
              <w:rPr>
                <w:rFonts w:ascii="Arial" w:hAnsi="Arial"/>
                <w:color w:val="141414"/>
                <w:sz w:val="14"/>
              </w:rPr>
              <w:t>The system should preserve before/after values for important operational and financial changes where technically supported and approved.</w:t>
            </w:r>
          </w:p>
        </w:tc>
        <w:tc>
          <w:tcPr>
            <w:tcW w:type="dxa" w:w="1037"/>
            <w:tcMar>
              <w:top w:w="70" w:type="dxa"/>
              <w:start w:w="80" w:type="dxa"/>
              <w:bottom w:w="70" w:type="dxa"/>
              <w:end w:w="80" w:type="dxa"/>
            </w:tcMar>
            <w:vAlign w:val="center"/>
          </w:tcPr>
          <w:p>
            <w:r>
              <w:t>Low</w:t>
            </w:r>
          </w:p>
        </w:tc>
        <w:tc>
          <w:tcPr>
            <w:tcW w:type="dxa" w:w="1800"/>
            <w:tcMar>
              <w:top w:w="70" w:type="dxa"/>
              <w:start w:w="80" w:type="dxa"/>
              <w:bottom w:w="70" w:type="dxa"/>
              <w:end w:w="80" w:type="dxa"/>
            </w:tcMar>
            <w:vAlign w:val="center"/>
          </w:tcPr>
          <w:p>
            <w:pPr>
              <w:spacing w:after="0" w:line="240" w:lineRule="auto"/>
            </w:pPr>
            <w:r>
              <w:rPr>
                <w:rFonts w:ascii="Arial" w:hAnsi="Arial"/>
                <w:color w:val="141414"/>
                <w:sz w:val="14"/>
              </w:rPr>
              <w:t>Sample changes can be traced; sensitive content is not unnecessarily captured.</w:t>
            </w:r>
          </w:p>
        </w:tc>
      </w:tr>
      <w:tr>
        <w:trPr>
          <w:cantSplit/>
        </w:trPr>
        <w:tc>
          <w:tcPr>
            <w:tcW w:type="dxa" w:w="936"/>
            <w:tcMar>
              <w:top w:w="70" w:type="dxa"/>
              <w:start w:w="80" w:type="dxa"/>
              <w:bottom w:w="70" w:type="dxa"/>
              <w:end w:w="80" w:type="dxa"/>
            </w:tcMar>
            <w:vAlign w:val="center"/>
            <w:shd w:fill="F7F7F7"/>
          </w:tcPr>
          <w:p>
            <w:pPr>
              <w:spacing w:after="0" w:line="240" w:lineRule="auto"/>
            </w:pPr>
            <w:r>
              <w:rPr>
                <w:rFonts w:ascii="Arial" w:hAnsi="Arial"/>
                <w:color w:val="141414"/>
                <w:sz w:val="14"/>
              </w:rPr>
              <w:t>REQ-022</w:t>
            </w:r>
          </w:p>
        </w:tc>
        <w:tc>
          <w:tcPr>
            <w:tcW w:type="dxa" w:w="1512"/>
            <w:tcMar>
              <w:top w:w="70" w:type="dxa"/>
              <w:start w:w="80" w:type="dxa"/>
              <w:bottom w:w="70" w:type="dxa"/>
              <w:end w:w="80" w:type="dxa"/>
            </w:tcMar>
            <w:vAlign w:val="center"/>
            <w:shd w:fill="F7F7F7"/>
          </w:tcPr>
          <w:p>
            <w:pPr>
              <w:spacing w:after="0" w:line="240" w:lineRule="auto"/>
            </w:pPr>
            <w:r>
              <w:rPr>
                <w:rFonts w:ascii="Arial" w:hAnsi="Arial"/>
                <w:color w:val="141414"/>
                <w:sz w:val="14"/>
              </w:rPr>
              <w:t>User administration</w:t>
            </w:r>
          </w:p>
        </w:tc>
        <w:tc>
          <w:tcPr>
            <w:tcW w:type="dxa" w:w="4824"/>
            <w:tcMar>
              <w:top w:w="70" w:type="dxa"/>
              <w:start w:w="80" w:type="dxa"/>
              <w:bottom w:w="70" w:type="dxa"/>
              <w:end w:w="80" w:type="dxa"/>
            </w:tcMar>
            <w:vAlign w:val="center"/>
            <w:shd w:fill="F7F7F7"/>
          </w:tcPr>
          <w:p>
            <w:pPr>
              <w:spacing w:after="0" w:line="240" w:lineRule="auto"/>
            </w:pPr>
            <w:r>
              <w:rPr>
                <w:rFonts w:ascii="Arial" w:hAnsi="Arial"/>
                <w:color w:val="141414"/>
                <w:sz w:val="14"/>
              </w:rPr>
              <w:t>Authorized administrators shall manage accounts and assign only approved roles.</w:t>
            </w:r>
          </w:p>
        </w:tc>
        <w:tc>
          <w:tcPr>
            <w:tcW w:type="dxa" w:w="1037"/>
            <w:tcMar>
              <w:top w:w="70" w:type="dxa"/>
              <w:start w:w="80" w:type="dxa"/>
              <w:bottom w:w="70" w:type="dxa"/>
              <w:end w:w="80" w:type="dxa"/>
            </w:tcMar>
            <w:vAlign w:val="center"/>
            <w:shd w:fill="F7F7F7"/>
          </w:tcPr>
          <w:p>
            <w:r>
              <w:t>Medium</w:t>
            </w:r>
          </w:p>
        </w:tc>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4"/>
              </w:rPr>
              <w:t>Only authorized admins can update account/role records.</w:t>
            </w:r>
          </w:p>
        </w:tc>
      </w:tr>
      <w:tr>
        <w:trPr>
          <w:cantSplit/>
        </w:trPr>
        <w:tc>
          <w:tcPr>
            <w:tcW w:type="dxa" w:w="936"/>
            <w:tcMar>
              <w:top w:w="70" w:type="dxa"/>
              <w:start w:w="80" w:type="dxa"/>
              <w:bottom w:w="70" w:type="dxa"/>
              <w:end w:w="80" w:type="dxa"/>
            </w:tcMar>
            <w:vAlign w:val="center"/>
          </w:tcPr>
          <w:p>
            <w:pPr>
              <w:spacing w:after="0" w:line="240" w:lineRule="auto"/>
            </w:pPr>
            <w:r>
              <w:rPr>
                <w:rFonts w:ascii="Arial" w:hAnsi="Arial"/>
                <w:color w:val="141414"/>
                <w:sz w:val="14"/>
              </w:rPr>
              <w:t>REQ-023</w:t>
            </w:r>
          </w:p>
        </w:tc>
        <w:tc>
          <w:tcPr>
            <w:tcW w:type="dxa" w:w="1512"/>
            <w:tcMar>
              <w:top w:w="70" w:type="dxa"/>
              <w:start w:w="80" w:type="dxa"/>
              <w:bottom w:w="70" w:type="dxa"/>
              <w:end w:w="80" w:type="dxa"/>
            </w:tcMar>
            <w:vAlign w:val="center"/>
          </w:tcPr>
          <w:p>
            <w:pPr>
              <w:spacing w:after="0" w:line="240" w:lineRule="auto"/>
            </w:pPr>
            <w:r>
              <w:rPr>
                <w:rFonts w:ascii="Arial" w:hAnsi="Arial"/>
                <w:color w:val="141414"/>
                <w:sz w:val="14"/>
              </w:rPr>
              <w:t>Empty states</w:t>
            </w:r>
          </w:p>
        </w:tc>
        <w:tc>
          <w:tcPr>
            <w:tcW w:type="dxa" w:w="4824"/>
            <w:tcMar>
              <w:top w:w="70" w:type="dxa"/>
              <w:start w:w="80" w:type="dxa"/>
              <w:bottom w:w="70" w:type="dxa"/>
              <w:end w:w="80" w:type="dxa"/>
            </w:tcMar>
            <w:vAlign w:val="center"/>
          </w:tcPr>
          <w:p>
            <w:pPr>
              <w:spacing w:after="0" w:line="240" w:lineRule="auto"/>
            </w:pPr>
            <w:r>
              <w:rPr>
                <w:rFonts w:ascii="Arial" w:hAnsi="Arial"/>
                <w:color w:val="141414"/>
                <w:sz w:val="14"/>
              </w:rPr>
              <w:t>When no records match a selected period or filter, the system shall state that no records were found and shall not imply there was no activity outside that period.</w:t>
            </w:r>
          </w:p>
        </w:tc>
        <w:tc>
          <w:tcPr>
            <w:tcW w:type="dxa" w:w="1037"/>
            <w:tcMar>
              <w:top w:w="70" w:type="dxa"/>
              <w:start w:w="80" w:type="dxa"/>
              <w:bottom w:w="70" w:type="dxa"/>
              <w:end w:w="80" w:type="dxa"/>
            </w:tcMar>
            <w:vAlign w:val="center"/>
          </w:tcPr>
          <w:p>
            <w:r>
              <w:t>Low</w:t>
            </w:r>
          </w:p>
        </w:tc>
        <w:tc>
          <w:tcPr>
            <w:tcW w:type="dxa" w:w="1800"/>
            <w:tcMar>
              <w:top w:w="70" w:type="dxa"/>
              <w:start w:w="80" w:type="dxa"/>
              <w:bottom w:w="70" w:type="dxa"/>
              <w:end w:w="80" w:type="dxa"/>
            </w:tcMar>
            <w:vAlign w:val="center"/>
          </w:tcPr>
          <w:p>
            <w:pPr>
              <w:spacing w:after="0" w:line="240" w:lineRule="auto"/>
            </w:pPr>
            <w:r>
              <w:rPr>
                <w:rFonts w:ascii="Arial" w:hAnsi="Arial"/>
                <w:color w:val="141414"/>
                <w:sz w:val="14"/>
              </w:rPr>
              <w:t>Empty-state message reflects active filters.</w:t>
            </w:r>
          </w:p>
        </w:tc>
      </w:tr>
      <w:tr>
        <w:trPr>
          <w:cantSplit/>
        </w:trPr>
        <w:tc>
          <w:tcPr>
            <w:tcW w:type="dxa" w:w="936"/>
            <w:tcMar>
              <w:top w:w="70" w:type="dxa"/>
              <w:start w:w="80" w:type="dxa"/>
              <w:bottom w:w="70" w:type="dxa"/>
              <w:end w:w="80" w:type="dxa"/>
            </w:tcMar>
            <w:vAlign w:val="center"/>
            <w:shd w:fill="F7F7F7"/>
          </w:tcPr>
          <w:p>
            <w:pPr>
              <w:spacing w:after="0" w:line="240" w:lineRule="auto"/>
            </w:pPr>
            <w:r>
              <w:rPr>
                <w:rFonts w:ascii="Arial" w:hAnsi="Arial"/>
                <w:color w:val="141414"/>
                <w:sz w:val="14"/>
              </w:rPr>
              <w:t>REQ-024</w:t>
            </w:r>
          </w:p>
        </w:tc>
        <w:tc>
          <w:tcPr>
            <w:tcW w:type="dxa" w:w="1512"/>
            <w:tcMar>
              <w:top w:w="70" w:type="dxa"/>
              <w:start w:w="80" w:type="dxa"/>
              <w:bottom w:w="70" w:type="dxa"/>
              <w:end w:w="80" w:type="dxa"/>
            </w:tcMar>
            <w:vAlign w:val="center"/>
            <w:shd w:fill="F7F7F7"/>
          </w:tcPr>
          <w:p>
            <w:pPr>
              <w:spacing w:after="0" w:line="240" w:lineRule="auto"/>
            </w:pPr>
            <w:r>
              <w:rPr>
                <w:rFonts w:ascii="Arial" w:hAnsi="Arial"/>
                <w:color w:val="141414"/>
                <w:sz w:val="14"/>
              </w:rPr>
              <w:t>Data validation</w:t>
            </w:r>
          </w:p>
        </w:tc>
        <w:tc>
          <w:tcPr>
            <w:tcW w:type="dxa" w:w="4824"/>
            <w:tcMar>
              <w:top w:w="70" w:type="dxa"/>
              <w:start w:w="80" w:type="dxa"/>
              <w:bottom w:w="70" w:type="dxa"/>
              <w:end w:w="80" w:type="dxa"/>
            </w:tcMar>
            <w:vAlign w:val="center"/>
            <w:shd w:fill="F7F7F7"/>
          </w:tcPr>
          <w:p>
            <w:pPr>
              <w:spacing w:after="0" w:line="240" w:lineRule="auto"/>
            </w:pPr>
            <w:r>
              <w:rPr>
                <w:rFonts w:ascii="Arial" w:hAnsi="Arial"/>
                <w:color w:val="141414"/>
                <w:sz w:val="14"/>
              </w:rPr>
              <w:t>The system shall validate required fields, date/time formats, numeric values, valid relationships, supported file types, and file-size limits before accepting data. Detailed limits and required fields remain TBD where not approved.</w:t>
            </w:r>
          </w:p>
        </w:tc>
        <w:tc>
          <w:tcPr>
            <w:tcW w:type="dxa" w:w="1037"/>
            <w:tcMar>
              <w:top w:w="70" w:type="dxa"/>
              <w:start w:w="80" w:type="dxa"/>
              <w:bottom w:w="70" w:type="dxa"/>
              <w:end w:w="80" w:type="dxa"/>
            </w:tcMar>
            <w:vAlign w:val="center"/>
            <w:shd w:fill="F7F7F7"/>
          </w:tcPr>
          <w:p>
            <w:r>
              <w:t>High</w:t>
            </w:r>
          </w:p>
        </w:tc>
        <w:tc>
          <w:tcPr>
            <w:tcW w:type="dxa" w:w="1800"/>
            <w:tcMar>
              <w:top w:w="70" w:type="dxa"/>
              <w:start w:w="80" w:type="dxa"/>
              <w:bottom w:w="70" w:type="dxa"/>
              <w:end w:w="80" w:type="dxa"/>
            </w:tcMar>
            <w:vAlign w:val="center"/>
            <w:shd w:fill="F7F7F7"/>
          </w:tcPr>
          <w:p>
            <w:pPr>
              <w:spacing w:after="0" w:line="240" w:lineRule="auto"/>
            </w:pPr>
            <w:r>
              <w:rPr>
                <w:rFonts w:ascii="Arial" w:hAnsi="Arial"/>
                <w:color w:val="141414"/>
                <w:sz w:val="14"/>
              </w:rPr>
              <w:t>Invalid records/files are rejected with actionable messages.</w:t>
            </w:r>
          </w:p>
        </w:tc>
      </w:tr>
      <w:tr>
        <w:trPr>
          <w:cantSplit/>
        </w:trPr>
        <w:tc>
          <w:tcPr>
            <w:tcW w:type="dxa" w:w="936"/>
            <w:tcMar>
              <w:top w:w="70" w:type="dxa"/>
              <w:start w:w="80" w:type="dxa"/>
              <w:bottom w:w="70" w:type="dxa"/>
              <w:end w:w="80" w:type="dxa"/>
            </w:tcMar>
            <w:vAlign w:val="center"/>
          </w:tcPr>
          <w:p>
            <w:pPr>
              <w:spacing w:after="0" w:line="240" w:lineRule="auto"/>
            </w:pPr>
            <w:r>
              <w:rPr>
                <w:rFonts w:ascii="Arial" w:hAnsi="Arial"/>
                <w:color w:val="141414"/>
                <w:sz w:val="14"/>
              </w:rPr>
              <w:t>REQ-025</w:t>
            </w:r>
          </w:p>
        </w:tc>
        <w:tc>
          <w:tcPr>
            <w:tcW w:type="dxa" w:w="1512"/>
            <w:tcMar>
              <w:top w:w="70" w:type="dxa"/>
              <w:start w:w="80" w:type="dxa"/>
              <w:bottom w:w="70" w:type="dxa"/>
              <w:end w:w="80" w:type="dxa"/>
            </w:tcMar>
            <w:vAlign w:val="center"/>
          </w:tcPr>
          <w:p>
            <w:pPr>
              <w:spacing w:after="0" w:line="240" w:lineRule="auto"/>
            </w:pPr>
            <w:r>
              <w:rPr>
                <w:rFonts w:ascii="Arial" w:hAnsi="Arial"/>
                <w:color w:val="141414"/>
                <w:sz w:val="14"/>
              </w:rPr>
              <w:t>Historical values</w:t>
            </w:r>
          </w:p>
        </w:tc>
        <w:tc>
          <w:tcPr>
            <w:tcW w:type="dxa" w:w="4824"/>
            <w:tcMar>
              <w:top w:w="70" w:type="dxa"/>
              <w:start w:w="80" w:type="dxa"/>
              <w:bottom w:w="70" w:type="dxa"/>
              <w:end w:w="80" w:type="dxa"/>
            </w:tcMar>
            <w:vAlign w:val="center"/>
          </w:tcPr>
          <w:p>
            <w:pPr>
              <w:spacing w:after="0" w:line="240" w:lineRule="auto"/>
            </w:pPr>
            <w:r>
              <w:rPr>
                <w:rFonts w:ascii="Arial" w:hAnsi="Arial"/>
                <w:color w:val="141414"/>
                <w:sz w:val="14"/>
              </w:rPr>
              <w:t>Changes to current rates or reference data shall not silently rewrite historical delivery financial values.</w:t>
            </w:r>
          </w:p>
        </w:tc>
        <w:tc>
          <w:tcPr>
            <w:tcW w:type="dxa" w:w="1037"/>
            <w:tcMar>
              <w:top w:w="70" w:type="dxa"/>
              <w:start w:w="80" w:type="dxa"/>
              <w:bottom w:w="70" w:type="dxa"/>
              <w:end w:w="80" w:type="dxa"/>
            </w:tcMar>
            <w:vAlign w:val="center"/>
          </w:tcPr>
          <w:p>
            <w:r>
              <w:t>High</w:t>
            </w:r>
          </w:p>
        </w:tc>
        <w:tc>
          <w:tcPr>
            <w:tcW w:type="dxa" w:w="1800"/>
            <w:tcMar>
              <w:top w:w="70" w:type="dxa"/>
              <w:start w:w="80" w:type="dxa"/>
              <w:bottom w:w="70" w:type="dxa"/>
              <w:end w:w="80" w:type="dxa"/>
            </w:tcMar>
            <w:vAlign w:val="center"/>
          </w:tcPr>
          <w:p>
            <w:pPr>
              <w:spacing w:after="0" w:line="240" w:lineRule="auto"/>
            </w:pPr>
            <w:r>
              <w:rPr>
                <w:rFonts w:ascii="Arial" w:hAnsi="Arial"/>
                <w:color w:val="141414"/>
                <w:sz w:val="14"/>
              </w:rPr>
              <w:t>Historical calculation inputs and changes remain traceable.</w:t>
            </w:r>
          </w:p>
        </w:tc>
      </w:tr>
    </w:tbl>
    <w:p>
      <w:pPr>
        <w:spacing w:after="20"/>
      </w:pPr>
    </w:p>
    <w:p>
      <w:pPr>
        <w:pStyle w:val="Heading2"/>
      </w:pPr>
      <w:r>
        <w:t>3.2. Nonfunctional Requirements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37"/>
            <w:shd w:fill="E7E7E7"/>
            <w:tcMar>
              <w:top w:w="70" w:type="dxa"/>
              <w:start w:w="80" w:type="dxa"/>
              <w:bottom w:w="70" w:type="dxa"/>
              <w:end w:w="80" w:type="dxa"/>
            </w:tcMar>
            <w:vAlign w:val="center"/>
          </w:tcPr>
          <w:p>
            <w:pPr>
              <w:spacing w:after="0"/>
            </w:pPr>
            <w:r>
              <w:rPr>
                <w:rFonts w:ascii="Arial" w:hAnsi="Arial"/>
                <w:b/>
                <w:color w:val="000000"/>
                <w:sz w:val="15"/>
              </w:rPr>
              <w:t>ID</w:t>
            </w:r>
          </w:p>
        </w:tc>
        <w:tc>
          <w:tcPr>
            <w:tcW w:type="dxa" w:w="1656"/>
            <w:shd w:fill="E7E7E7"/>
            <w:tcMar>
              <w:top w:w="70" w:type="dxa"/>
              <w:start w:w="80" w:type="dxa"/>
              <w:bottom w:w="70" w:type="dxa"/>
              <w:end w:w="80" w:type="dxa"/>
            </w:tcMar>
            <w:vAlign w:val="center"/>
          </w:tcPr>
          <w:p>
            <w:pPr>
              <w:spacing w:after="0"/>
            </w:pPr>
            <w:r>
              <w:rPr>
                <w:rFonts w:ascii="Arial" w:hAnsi="Arial"/>
                <w:b/>
                <w:color w:val="000000"/>
                <w:sz w:val="15"/>
              </w:rPr>
              <w:t>Quality area</w:t>
            </w:r>
          </w:p>
        </w:tc>
        <w:tc>
          <w:tcPr>
            <w:tcW w:type="dxa" w:w="5472"/>
            <w:shd w:fill="E7E7E7"/>
            <w:tcMar>
              <w:top w:w="70" w:type="dxa"/>
              <w:start w:w="80" w:type="dxa"/>
              <w:bottom w:w="70" w:type="dxa"/>
              <w:end w:w="80" w:type="dxa"/>
            </w:tcMar>
            <w:vAlign w:val="center"/>
          </w:tcPr>
          <w:p>
            <w:pPr>
              <w:spacing w:after="0"/>
            </w:pPr>
            <w:r>
              <w:rPr>
                <w:rFonts w:ascii="Arial" w:hAnsi="Arial"/>
                <w:b/>
                <w:color w:val="000000"/>
                <w:sz w:val="15"/>
              </w:rPr>
              <w:t>Requirement</w:t>
            </w:r>
          </w:p>
        </w:tc>
        <w:tc>
          <w:tcPr>
            <w:tcW w:type="dxa" w:w="1944"/>
            <w:shd w:fill="E7E7E7"/>
            <w:tcMar>
              <w:top w:w="70" w:type="dxa"/>
              <w:start w:w="80" w:type="dxa"/>
              <w:bottom w:w="70" w:type="dxa"/>
              <w:end w:w="80" w:type="dxa"/>
            </w:tcMar>
            <w:vAlign w:val="center"/>
          </w:tcPr>
          <w:p>
            <w:pPr>
              <w:spacing w:after="0"/>
            </w:pPr>
            <w:r>
              <w:rPr>
                <w:rFonts w:ascii="Arial" w:hAnsi="Arial"/>
                <w:b/>
                <w:color w:val="000000"/>
                <w:sz w:val="15"/>
              </w:rPr>
              <w:t>Validation</w:t>
            </w:r>
          </w:p>
        </w:tc>
      </w:tr>
      <w:tr>
        <w:trPr>
          <w:cantSplit/>
        </w:trPr>
        <w:tc>
          <w:tcPr>
            <w:tcW w:type="dxa" w:w="1037"/>
            <w:tcMar>
              <w:top w:w="70" w:type="dxa"/>
              <w:start w:w="80" w:type="dxa"/>
              <w:bottom w:w="70" w:type="dxa"/>
              <w:end w:w="80" w:type="dxa"/>
            </w:tcMar>
            <w:vAlign w:val="center"/>
          </w:tcPr>
          <w:p>
            <w:pPr>
              <w:spacing w:after="0" w:line="240" w:lineRule="auto"/>
            </w:pPr>
            <w:r>
              <w:rPr>
                <w:rFonts w:ascii="Arial" w:hAnsi="Arial"/>
                <w:color w:val="141414"/>
                <w:sz w:val="15"/>
              </w:rPr>
              <w:t>NFR-001</w:t>
            </w:r>
          </w:p>
        </w:tc>
        <w:tc>
          <w:tcPr>
            <w:tcW w:type="dxa" w:w="1656"/>
            <w:tcMar>
              <w:top w:w="70" w:type="dxa"/>
              <w:start w:w="80" w:type="dxa"/>
              <w:bottom w:w="70" w:type="dxa"/>
              <w:end w:w="80" w:type="dxa"/>
            </w:tcMar>
            <w:vAlign w:val="center"/>
          </w:tcPr>
          <w:p>
            <w:pPr>
              <w:spacing w:after="0" w:line="240" w:lineRule="auto"/>
            </w:pPr>
            <w:r>
              <w:rPr>
                <w:rFonts w:ascii="Arial" w:hAnsi="Arial"/>
                <w:color w:val="141414"/>
                <w:sz w:val="15"/>
              </w:rPr>
              <w:t>Security</w:t>
            </w:r>
          </w:p>
        </w:tc>
        <w:tc>
          <w:tcPr>
            <w:tcW w:type="dxa" w:w="5472"/>
            <w:tcMar>
              <w:top w:w="70" w:type="dxa"/>
              <w:start w:w="80" w:type="dxa"/>
              <w:bottom w:w="70" w:type="dxa"/>
              <w:end w:w="80" w:type="dxa"/>
            </w:tcMar>
            <w:vAlign w:val="center"/>
          </w:tcPr>
          <w:p>
            <w:pPr>
              <w:spacing w:after="0" w:line="240" w:lineRule="auto"/>
            </w:pPr>
            <w:r>
              <w:rPr>
                <w:rFonts w:ascii="Arial" w:hAnsi="Arial"/>
                <w:color w:val="141414"/>
                <w:sz w:val="15"/>
              </w:rPr>
              <w:t>Passwords and authentication secrets shall be handled using secure mechanisms; sensitive configuration values shall not be exposed to the browser.</w:t>
            </w:r>
          </w:p>
        </w:tc>
        <w:tc>
          <w:tcPr>
            <w:tcW w:type="dxa" w:w="1944"/>
            <w:tcMar>
              <w:top w:w="70" w:type="dxa"/>
              <w:start w:w="80" w:type="dxa"/>
              <w:bottom w:w="70" w:type="dxa"/>
              <w:end w:w="80" w:type="dxa"/>
            </w:tcMar>
            <w:vAlign w:val="center"/>
          </w:tcPr>
          <w:p>
            <w:pPr>
              <w:spacing w:after="0" w:line="240" w:lineRule="auto"/>
            </w:pPr>
            <w:r>
              <w:rPr>
                <w:rFonts w:ascii="Arial" w:hAnsi="Arial"/>
                <w:color w:val="141414"/>
                <w:sz w:val="15"/>
              </w:rPr>
              <w:t>Verify configuration and client bundle.</w:t>
            </w:r>
          </w:p>
        </w:tc>
      </w:tr>
      <w:tr>
        <w:trPr>
          <w:cantSplit/>
        </w:trPr>
        <w:tc>
          <w:tcPr>
            <w:tcW w:type="dxa" w:w="1037"/>
            <w:tcMar>
              <w:top w:w="70" w:type="dxa"/>
              <w:start w:w="80" w:type="dxa"/>
              <w:bottom w:w="70" w:type="dxa"/>
              <w:end w:w="80" w:type="dxa"/>
            </w:tcMar>
            <w:vAlign w:val="center"/>
            <w:shd w:fill="F7F7F7"/>
          </w:tcPr>
          <w:p>
            <w:pPr>
              <w:spacing w:after="0" w:line="240" w:lineRule="auto"/>
            </w:pPr>
            <w:r>
              <w:rPr>
                <w:rFonts w:ascii="Arial" w:hAnsi="Arial"/>
                <w:color w:val="141414"/>
                <w:sz w:val="15"/>
              </w:rPr>
              <w:t>NFR-002</w:t>
            </w:r>
          </w:p>
        </w:tc>
        <w:tc>
          <w:tcPr>
            <w:tcW w:type="dxa" w:w="1656"/>
            <w:tcMar>
              <w:top w:w="70" w:type="dxa"/>
              <w:start w:w="80" w:type="dxa"/>
              <w:bottom w:w="70" w:type="dxa"/>
              <w:end w:w="80" w:type="dxa"/>
            </w:tcMar>
            <w:vAlign w:val="center"/>
            <w:shd w:fill="F7F7F7"/>
          </w:tcPr>
          <w:p>
            <w:pPr>
              <w:spacing w:after="0" w:line="240" w:lineRule="auto"/>
            </w:pPr>
            <w:r>
              <w:rPr>
                <w:rFonts w:ascii="Arial" w:hAnsi="Arial"/>
                <w:color w:val="141414"/>
                <w:sz w:val="15"/>
              </w:rPr>
              <w:t>Transport security</w:t>
            </w:r>
          </w:p>
        </w:tc>
        <w:tc>
          <w:tcPr>
            <w:tcW w:type="dxa" w:w="5472"/>
            <w:tcMar>
              <w:top w:w="70" w:type="dxa"/>
              <w:start w:w="80" w:type="dxa"/>
              <w:bottom w:w="70" w:type="dxa"/>
              <w:end w:w="80" w:type="dxa"/>
            </w:tcMar>
            <w:vAlign w:val="center"/>
            <w:shd w:fill="F7F7F7"/>
          </w:tcPr>
          <w:p>
            <w:pPr>
              <w:spacing w:after="0" w:line="240" w:lineRule="auto"/>
            </w:pPr>
            <w:r>
              <w:rPr>
                <w:rFonts w:ascii="Arial" w:hAnsi="Arial"/>
                <w:color w:val="141414"/>
                <w:sz w:val="15"/>
              </w:rPr>
              <w:t>Production traffic shall use HTTPS/TLS.</w:t>
            </w:r>
          </w:p>
        </w:tc>
        <w:tc>
          <w:tcPr>
            <w:tcW w:type="dxa" w:w="1944"/>
            <w:tcMar>
              <w:top w:w="70" w:type="dxa"/>
              <w:start w:w="80" w:type="dxa"/>
              <w:bottom w:w="70" w:type="dxa"/>
              <w:end w:w="80" w:type="dxa"/>
            </w:tcMar>
            <w:vAlign w:val="center"/>
            <w:shd w:fill="F7F7F7"/>
          </w:tcPr>
          <w:p>
            <w:pPr>
              <w:spacing w:after="0" w:line="240" w:lineRule="auto"/>
            </w:pPr>
            <w:r>
              <w:rPr>
                <w:rFonts w:ascii="Arial" w:hAnsi="Arial"/>
                <w:color w:val="141414"/>
                <w:sz w:val="15"/>
              </w:rPr>
              <w:t>Verify production deployment settings.</w:t>
            </w:r>
          </w:p>
        </w:tc>
      </w:tr>
      <w:tr>
        <w:trPr>
          <w:cantSplit/>
        </w:trPr>
        <w:tc>
          <w:tcPr>
            <w:tcW w:type="dxa" w:w="1037"/>
            <w:tcMar>
              <w:top w:w="70" w:type="dxa"/>
              <w:start w:w="80" w:type="dxa"/>
              <w:bottom w:w="70" w:type="dxa"/>
              <w:end w:w="80" w:type="dxa"/>
            </w:tcMar>
            <w:vAlign w:val="center"/>
          </w:tcPr>
          <w:p>
            <w:pPr>
              <w:spacing w:after="0" w:line="240" w:lineRule="auto"/>
            </w:pPr>
            <w:r>
              <w:rPr>
                <w:rFonts w:ascii="Arial" w:hAnsi="Arial"/>
                <w:color w:val="141414"/>
                <w:sz w:val="15"/>
              </w:rPr>
              <w:t>NFR-003</w:t>
            </w:r>
          </w:p>
        </w:tc>
        <w:tc>
          <w:tcPr>
            <w:tcW w:type="dxa" w:w="1656"/>
            <w:tcMar>
              <w:top w:w="70" w:type="dxa"/>
              <w:start w:w="80" w:type="dxa"/>
              <w:bottom w:w="70" w:type="dxa"/>
              <w:end w:w="80" w:type="dxa"/>
            </w:tcMar>
            <w:vAlign w:val="center"/>
          </w:tcPr>
          <w:p>
            <w:pPr>
              <w:spacing w:after="0" w:line="240" w:lineRule="auto"/>
            </w:pPr>
            <w:r>
              <w:rPr>
                <w:rFonts w:ascii="Arial" w:hAnsi="Arial"/>
                <w:color w:val="141414"/>
                <w:sz w:val="15"/>
              </w:rPr>
              <w:t>Privacy</w:t>
            </w:r>
          </w:p>
        </w:tc>
        <w:tc>
          <w:tcPr>
            <w:tcW w:type="dxa" w:w="5472"/>
            <w:tcMar>
              <w:top w:w="70" w:type="dxa"/>
              <w:start w:w="80" w:type="dxa"/>
              <w:bottom w:w="70" w:type="dxa"/>
              <w:end w:w="80" w:type="dxa"/>
            </w:tcMar>
            <w:vAlign w:val="center"/>
          </w:tcPr>
          <w:p>
            <w:pPr>
              <w:spacing w:after="0" w:line="240" w:lineRule="auto"/>
            </w:pPr>
            <w:r>
              <w:rPr>
                <w:rFonts w:ascii="Arial" w:hAnsi="Arial"/>
                <w:color w:val="141414"/>
                <w:sz w:val="15"/>
              </w:rPr>
              <w:t>Personal and business records shall be accessible only for authorized operational purposes and handled consistently with applicable Philippine data-protection requirements.</w:t>
            </w:r>
          </w:p>
        </w:tc>
        <w:tc>
          <w:tcPr>
            <w:tcW w:type="dxa" w:w="1944"/>
            <w:tcMar>
              <w:top w:w="70" w:type="dxa"/>
              <w:start w:w="80" w:type="dxa"/>
              <w:bottom w:w="70" w:type="dxa"/>
              <w:end w:w="80" w:type="dxa"/>
            </w:tcMar>
            <w:vAlign w:val="center"/>
          </w:tcPr>
          <w:p>
            <w:pPr>
              <w:spacing w:after="0" w:line="240" w:lineRule="auto"/>
            </w:pPr>
            <w:r>
              <w:rPr>
                <w:rFonts w:ascii="Arial" w:hAnsi="Arial"/>
                <w:color w:val="141414"/>
                <w:sz w:val="15"/>
              </w:rPr>
              <w:t>Review permissions, processing, retention, and privacy notices/practices.</w:t>
            </w:r>
          </w:p>
        </w:tc>
      </w:tr>
      <w:tr>
        <w:trPr>
          <w:cantSplit/>
        </w:trPr>
        <w:tc>
          <w:tcPr>
            <w:tcW w:type="dxa" w:w="1037"/>
            <w:tcMar>
              <w:top w:w="70" w:type="dxa"/>
              <w:start w:w="80" w:type="dxa"/>
              <w:bottom w:w="70" w:type="dxa"/>
              <w:end w:w="80" w:type="dxa"/>
            </w:tcMar>
            <w:vAlign w:val="center"/>
            <w:shd w:fill="F7F7F7"/>
          </w:tcPr>
          <w:p>
            <w:pPr>
              <w:spacing w:after="0" w:line="240" w:lineRule="auto"/>
            </w:pPr>
            <w:r>
              <w:rPr>
                <w:rFonts w:ascii="Arial" w:hAnsi="Arial"/>
                <w:color w:val="141414"/>
                <w:sz w:val="15"/>
              </w:rPr>
              <w:t>NFR-004</w:t>
            </w:r>
          </w:p>
        </w:tc>
        <w:tc>
          <w:tcPr>
            <w:tcW w:type="dxa" w:w="1656"/>
            <w:tcMar>
              <w:top w:w="70" w:type="dxa"/>
              <w:start w:w="80" w:type="dxa"/>
              <w:bottom w:w="70" w:type="dxa"/>
              <w:end w:w="80" w:type="dxa"/>
            </w:tcMar>
            <w:vAlign w:val="center"/>
            <w:shd w:fill="F7F7F7"/>
          </w:tcPr>
          <w:p>
            <w:pPr>
              <w:spacing w:after="0" w:line="240" w:lineRule="auto"/>
            </w:pPr>
            <w:r>
              <w:rPr>
                <w:rFonts w:ascii="Arial" w:hAnsi="Arial"/>
                <w:color w:val="141414"/>
                <w:sz w:val="15"/>
              </w:rPr>
              <w:t>Data integrity</w:t>
            </w:r>
          </w:p>
        </w:tc>
        <w:tc>
          <w:tcPr>
            <w:tcW w:type="dxa" w:w="5472"/>
            <w:tcMar>
              <w:top w:w="70" w:type="dxa"/>
              <w:start w:w="80" w:type="dxa"/>
              <w:bottom w:w="70" w:type="dxa"/>
              <w:end w:w="80" w:type="dxa"/>
            </w:tcMar>
            <w:vAlign w:val="center"/>
            <w:shd w:fill="F7F7F7"/>
          </w:tcPr>
          <w:p>
            <w:pPr>
              <w:spacing w:after="0" w:line="240" w:lineRule="auto"/>
            </w:pPr>
            <w:r>
              <w:rPr>
                <w:rFonts w:ascii="Arial" w:hAnsi="Arial"/>
                <w:color w:val="141414"/>
                <w:sz w:val="15"/>
              </w:rPr>
              <w:t>Money shall use exact decimal/numeric values or integer minor units, not floating-point types. Derived totals shall be calculated consistently from approved source entries.</w:t>
            </w:r>
          </w:p>
        </w:tc>
        <w:tc>
          <w:tcPr>
            <w:tcW w:type="dxa" w:w="1944"/>
            <w:tcMar>
              <w:top w:w="70" w:type="dxa"/>
              <w:start w:w="80" w:type="dxa"/>
              <w:bottom w:w="70" w:type="dxa"/>
              <w:end w:w="80" w:type="dxa"/>
            </w:tcMar>
            <w:vAlign w:val="center"/>
            <w:shd w:fill="F7F7F7"/>
          </w:tcPr>
          <w:p>
            <w:pPr>
              <w:spacing w:after="0" w:line="240" w:lineRule="auto"/>
            </w:pPr>
            <w:r>
              <w:rPr>
                <w:rFonts w:ascii="Arial" w:hAnsi="Arial"/>
                <w:color w:val="141414"/>
                <w:sz w:val="15"/>
              </w:rPr>
              <w:t>Check schema/types and reconcile calculations.</w:t>
            </w:r>
          </w:p>
        </w:tc>
      </w:tr>
      <w:tr>
        <w:trPr>
          <w:cantSplit/>
        </w:trPr>
        <w:tc>
          <w:tcPr>
            <w:tcW w:type="dxa" w:w="1037"/>
            <w:tcMar>
              <w:top w:w="70" w:type="dxa"/>
              <w:start w:w="80" w:type="dxa"/>
              <w:bottom w:w="70" w:type="dxa"/>
              <w:end w:w="80" w:type="dxa"/>
            </w:tcMar>
            <w:vAlign w:val="center"/>
          </w:tcPr>
          <w:p>
            <w:pPr>
              <w:spacing w:after="0" w:line="240" w:lineRule="auto"/>
            </w:pPr>
            <w:r>
              <w:rPr>
                <w:rFonts w:ascii="Arial" w:hAnsi="Arial"/>
                <w:color w:val="141414"/>
                <w:sz w:val="15"/>
              </w:rPr>
              <w:t>NFR-005</w:t>
            </w:r>
          </w:p>
        </w:tc>
        <w:tc>
          <w:tcPr>
            <w:tcW w:type="dxa" w:w="1656"/>
            <w:tcMar>
              <w:top w:w="70" w:type="dxa"/>
              <w:start w:w="80" w:type="dxa"/>
              <w:bottom w:w="70" w:type="dxa"/>
              <w:end w:w="80" w:type="dxa"/>
            </w:tcMar>
            <w:vAlign w:val="center"/>
          </w:tcPr>
          <w:p>
            <w:pPr>
              <w:spacing w:after="0" w:line="240" w:lineRule="auto"/>
            </w:pPr>
            <w:r>
              <w:rPr>
                <w:rFonts w:ascii="Arial" w:hAnsi="Arial"/>
                <w:color w:val="141414"/>
                <w:sz w:val="15"/>
              </w:rPr>
              <w:t>Reliability</w:t>
            </w:r>
          </w:p>
        </w:tc>
        <w:tc>
          <w:tcPr>
            <w:tcW w:type="dxa" w:w="5472"/>
            <w:tcMar>
              <w:top w:w="70" w:type="dxa"/>
              <w:start w:w="80" w:type="dxa"/>
              <w:bottom w:w="70" w:type="dxa"/>
              <w:end w:w="80" w:type="dxa"/>
            </w:tcMar>
            <w:vAlign w:val="center"/>
          </w:tcPr>
          <w:p>
            <w:pPr>
              <w:spacing w:after="0" w:line="240" w:lineRule="auto"/>
            </w:pPr>
            <w:r>
              <w:rPr>
                <w:rFonts w:ascii="Arial" w:hAnsi="Arial"/>
                <w:color w:val="141414"/>
                <w:sz w:val="15"/>
              </w:rPr>
              <w:t>Database and file-storage backup/recovery arrangements shall be defined before production use; schedule and retention remain TBD.</w:t>
            </w:r>
          </w:p>
        </w:tc>
        <w:tc>
          <w:tcPr>
            <w:tcW w:type="dxa" w:w="1944"/>
            <w:tcMar>
              <w:top w:w="70" w:type="dxa"/>
              <w:start w:w="80" w:type="dxa"/>
              <w:bottom w:w="70" w:type="dxa"/>
              <w:end w:w="80" w:type="dxa"/>
            </w:tcMar>
            <w:vAlign w:val="center"/>
          </w:tcPr>
          <w:p>
            <w:pPr>
              <w:spacing w:after="0" w:line="240" w:lineRule="auto"/>
            </w:pPr>
            <w:r>
              <w:rPr>
                <w:rFonts w:ascii="Arial" w:hAnsi="Arial"/>
                <w:color w:val="141414"/>
                <w:sz w:val="15"/>
              </w:rPr>
              <w:t>Document backup, restore owner, frequency, and test process.</w:t>
            </w:r>
          </w:p>
        </w:tc>
      </w:tr>
      <w:tr>
        <w:trPr>
          <w:cantSplit/>
        </w:trPr>
        <w:tc>
          <w:tcPr>
            <w:tcW w:type="dxa" w:w="1037"/>
            <w:tcMar>
              <w:top w:w="70" w:type="dxa"/>
              <w:start w:w="80" w:type="dxa"/>
              <w:bottom w:w="70" w:type="dxa"/>
              <w:end w:w="80" w:type="dxa"/>
            </w:tcMar>
            <w:vAlign w:val="center"/>
            <w:shd w:fill="F7F7F7"/>
          </w:tcPr>
          <w:p>
            <w:pPr>
              <w:spacing w:after="0" w:line="240" w:lineRule="auto"/>
            </w:pPr>
            <w:r>
              <w:rPr>
                <w:rFonts w:ascii="Arial" w:hAnsi="Arial"/>
                <w:color w:val="141414"/>
                <w:sz w:val="15"/>
              </w:rPr>
              <w:t>NFR-006</w:t>
            </w:r>
          </w:p>
        </w:tc>
        <w:tc>
          <w:tcPr>
            <w:tcW w:type="dxa" w:w="1656"/>
            <w:tcMar>
              <w:top w:w="70" w:type="dxa"/>
              <w:start w:w="80" w:type="dxa"/>
              <w:bottom w:w="70" w:type="dxa"/>
              <w:end w:w="80" w:type="dxa"/>
            </w:tcMar>
            <w:vAlign w:val="center"/>
            <w:shd w:fill="F7F7F7"/>
          </w:tcPr>
          <w:p>
            <w:pPr>
              <w:spacing w:after="0" w:line="240" w:lineRule="auto"/>
            </w:pPr>
            <w:r>
              <w:rPr>
                <w:rFonts w:ascii="Arial" w:hAnsi="Arial"/>
                <w:color w:val="141414"/>
                <w:sz w:val="15"/>
              </w:rPr>
              <w:t>Usability</w:t>
            </w:r>
          </w:p>
        </w:tc>
        <w:tc>
          <w:tcPr>
            <w:tcW w:type="dxa" w:w="5472"/>
            <w:tcMar>
              <w:top w:w="70" w:type="dxa"/>
              <w:start w:w="80" w:type="dxa"/>
              <w:bottom w:w="70" w:type="dxa"/>
              <w:end w:w="80" w:type="dxa"/>
            </w:tcMar>
            <w:vAlign w:val="center"/>
            <w:shd w:fill="F7F7F7"/>
          </w:tcPr>
          <w:p>
            <w:pPr>
              <w:spacing w:after="0" w:line="240" w:lineRule="auto"/>
            </w:pPr>
            <w:r>
              <w:rPr>
                <w:rFonts w:ascii="Arial" w:hAnsi="Arial"/>
                <w:color w:val="141414"/>
                <w:sz w:val="15"/>
              </w:rPr>
              <w:t>The interface should prioritize searchable tables, consistent filters, clear labels, useful empty states, and compact workflows suitable for internal users with basic computer skills.</w:t>
            </w:r>
          </w:p>
        </w:tc>
        <w:tc>
          <w:tcPr>
            <w:tcW w:type="dxa" w:w="1944"/>
            <w:tcMar>
              <w:top w:w="70" w:type="dxa"/>
              <w:start w:w="80" w:type="dxa"/>
              <w:bottom w:w="70" w:type="dxa"/>
              <w:end w:w="80" w:type="dxa"/>
            </w:tcMar>
            <w:vAlign w:val="center"/>
            <w:shd w:fill="F7F7F7"/>
          </w:tcPr>
          <w:p>
            <w:pPr>
              <w:spacing w:after="0" w:line="240" w:lineRule="auto"/>
            </w:pPr>
            <w:r>
              <w:rPr>
                <w:rFonts w:ascii="Arial" w:hAnsi="Arial"/>
                <w:color w:val="141414"/>
                <w:sz w:val="15"/>
              </w:rPr>
              <w:t>Conduct user acceptance/usability checks.</w:t>
            </w:r>
          </w:p>
        </w:tc>
      </w:tr>
      <w:tr>
        <w:trPr>
          <w:cantSplit/>
        </w:trPr>
        <w:tc>
          <w:tcPr>
            <w:tcW w:type="dxa" w:w="1037"/>
            <w:tcMar>
              <w:top w:w="70" w:type="dxa"/>
              <w:start w:w="80" w:type="dxa"/>
              <w:bottom w:w="70" w:type="dxa"/>
              <w:end w:w="80" w:type="dxa"/>
            </w:tcMar>
            <w:vAlign w:val="center"/>
          </w:tcPr>
          <w:p>
            <w:pPr>
              <w:spacing w:after="0" w:line="240" w:lineRule="auto"/>
            </w:pPr>
            <w:r>
              <w:rPr>
                <w:rFonts w:ascii="Arial" w:hAnsi="Arial"/>
                <w:color w:val="141414"/>
                <w:sz w:val="15"/>
              </w:rPr>
              <w:t>NFR-007</w:t>
            </w:r>
          </w:p>
        </w:tc>
        <w:tc>
          <w:tcPr>
            <w:tcW w:type="dxa" w:w="1656"/>
            <w:tcMar>
              <w:top w:w="70" w:type="dxa"/>
              <w:start w:w="80" w:type="dxa"/>
              <w:bottom w:w="70" w:type="dxa"/>
              <w:end w:w="80" w:type="dxa"/>
            </w:tcMar>
            <w:vAlign w:val="center"/>
          </w:tcPr>
          <w:p>
            <w:pPr>
              <w:spacing w:after="0" w:line="240" w:lineRule="auto"/>
            </w:pPr>
            <w:r>
              <w:rPr>
                <w:rFonts w:ascii="Arial" w:hAnsi="Arial"/>
                <w:color w:val="141414"/>
                <w:sz w:val="15"/>
              </w:rPr>
              <w:t>Compatibility</w:t>
            </w:r>
          </w:p>
        </w:tc>
        <w:tc>
          <w:tcPr>
            <w:tcW w:type="dxa" w:w="5472"/>
            <w:tcMar>
              <w:top w:w="70" w:type="dxa"/>
              <w:start w:w="80" w:type="dxa"/>
              <w:bottom w:w="70" w:type="dxa"/>
              <w:end w:w="80" w:type="dxa"/>
            </w:tcMar>
            <w:vAlign w:val="center"/>
          </w:tcPr>
          <w:p>
            <w:pPr>
              <w:spacing w:after="0" w:line="240" w:lineRule="auto"/>
            </w:pPr>
            <w:r>
              <w:rPr>
                <w:rFonts w:ascii="Arial" w:hAnsi="Arial"/>
                <w:color w:val="141414"/>
                <w:sz w:val="15"/>
              </w:rPr>
              <w:t>The system shall be usable in modern desktop web browsers; minimum supported browsers and mobile requirements are TBD.</w:t>
            </w:r>
          </w:p>
        </w:tc>
        <w:tc>
          <w:tcPr>
            <w:tcW w:type="dxa" w:w="1944"/>
            <w:tcMar>
              <w:top w:w="70" w:type="dxa"/>
              <w:start w:w="80" w:type="dxa"/>
              <w:bottom w:w="70" w:type="dxa"/>
              <w:end w:w="80" w:type="dxa"/>
            </w:tcMar>
            <w:vAlign w:val="center"/>
          </w:tcPr>
          <w:p>
            <w:pPr>
              <w:spacing w:after="0" w:line="240" w:lineRule="auto"/>
            </w:pPr>
            <w:r>
              <w:rPr>
                <w:rFonts w:ascii="Arial" w:hAnsi="Arial"/>
                <w:color w:val="141414"/>
                <w:sz w:val="15"/>
              </w:rPr>
              <w:t>Agree and test supported environment.</w:t>
            </w:r>
          </w:p>
        </w:tc>
      </w:tr>
      <w:tr>
        <w:trPr>
          <w:cantSplit/>
        </w:trPr>
        <w:tc>
          <w:tcPr>
            <w:tcW w:type="dxa" w:w="1037"/>
            <w:tcMar>
              <w:top w:w="70" w:type="dxa"/>
              <w:start w:w="80" w:type="dxa"/>
              <w:bottom w:w="70" w:type="dxa"/>
              <w:end w:w="80" w:type="dxa"/>
            </w:tcMar>
            <w:vAlign w:val="center"/>
            <w:shd w:fill="F7F7F7"/>
          </w:tcPr>
          <w:p>
            <w:pPr>
              <w:spacing w:after="0" w:line="240" w:lineRule="auto"/>
            </w:pPr>
            <w:r>
              <w:rPr>
                <w:rFonts w:ascii="Arial" w:hAnsi="Arial"/>
                <w:color w:val="141414"/>
                <w:sz w:val="15"/>
              </w:rPr>
              <w:t>NFR-008</w:t>
            </w:r>
          </w:p>
        </w:tc>
        <w:tc>
          <w:tcPr>
            <w:tcW w:type="dxa" w:w="1656"/>
            <w:tcMar>
              <w:top w:w="70" w:type="dxa"/>
              <w:start w:w="80" w:type="dxa"/>
              <w:bottom w:w="70" w:type="dxa"/>
              <w:end w:w="80" w:type="dxa"/>
            </w:tcMar>
            <w:vAlign w:val="center"/>
            <w:shd w:fill="F7F7F7"/>
          </w:tcPr>
          <w:p>
            <w:pPr>
              <w:spacing w:after="0" w:line="240" w:lineRule="auto"/>
            </w:pPr>
            <w:r>
              <w:rPr>
                <w:rFonts w:ascii="Arial" w:hAnsi="Arial"/>
                <w:color w:val="141414"/>
                <w:sz w:val="15"/>
              </w:rPr>
              <w:t>Maintainability</w:t>
            </w:r>
          </w:p>
        </w:tc>
        <w:tc>
          <w:tcPr>
            <w:tcW w:type="dxa" w:w="5472"/>
            <w:tcMar>
              <w:top w:w="70" w:type="dxa"/>
              <w:start w:w="80" w:type="dxa"/>
              <w:bottom w:w="70" w:type="dxa"/>
              <w:end w:w="80" w:type="dxa"/>
            </w:tcMar>
            <w:vAlign w:val="center"/>
            <w:shd w:fill="F7F7F7"/>
          </w:tcPr>
          <w:p>
            <w:pPr>
              <w:spacing w:after="0" w:line="240" w:lineRule="auto"/>
            </w:pPr>
            <w:r>
              <w:rPr>
                <w:rFonts w:ascii="Arial" w:hAnsi="Arial"/>
                <w:color w:val="141414"/>
                <w:sz w:val="15"/>
              </w:rPr>
              <w:t>The system shall use a single Next.js application with TypeScript, reusable UI components, documented environment configuration, and validation on server-side mutations.</w:t>
            </w:r>
          </w:p>
        </w:tc>
        <w:tc>
          <w:tcPr>
            <w:tcW w:type="dxa" w:w="1944"/>
            <w:tcMar>
              <w:top w:w="70" w:type="dxa"/>
              <w:start w:w="80" w:type="dxa"/>
              <w:bottom w:w="70" w:type="dxa"/>
              <w:end w:w="80" w:type="dxa"/>
            </w:tcMar>
            <w:vAlign w:val="center"/>
            <w:shd w:fill="F7F7F7"/>
          </w:tcPr>
          <w:p>
            <w:pPr>
              <w:spacing w:after="0" w:line="240" w:lineRule="auto"/>
            </w:pPr>
            <w:r>
              <w:rPr>
                <w:rFonts w:ascii="Arial" w:hAnsi="Arial"/>
                <w:color w:val="141414"/>
                <w:sz w:val="15"/>
              </w:rPr>
              <w:t>Review structure, types, configuration, and documentation.</w:t>
            </w:r>
          </w:p>
        </w:tc>
      </w:tr>
      <w:tr>
        <w:trPr>
          <w:cantSplit/>
        </w:trPr>
        <w:tc>
          <w:tcPr>
            <w:tcW w:type="dxa" w:w="1037"/>
            <w:tcMar>
              <w:top w:w="70" w:type="dxa"/>
              <w:start w:w="80" w:type="dxa"/>
              <w:bottom w:w="70" w:type="dxa"/>
              <w:end w:w="80" w:type="dxa"/>
            </w:tcMar>
            <w:vAlign w:val="center"/>
          </w:tcPr>
          <w:p>
            <w:pPr>
              <w:spacing w:after="0" w:line="240" w:lineRule="auto"/>
            </w:pPr>
            <w:r>
              <w:rPr>
                <w:rFonts w:ascii="Arial" w:hAnsi="Arial"/>
                <w:color w:val="141414"/>
                <w:sz w:val="15"/>
              </w:rPr>
              <w:t>NFR-009</w:t>
            </w:r>
          </w:p>
        </w:tc>
        <w:tc>
          <w:tcPr>
            <w:tcW w:type="dxa" w:w="1656"/>
            <w:tcMar>
              <w:top w:w="70" w:type="dxa"/>
              <w:start w:w="80" w:type="dxa"/>
              <w:bottom w:w="70" w:type="dxa"/>
              <w:end w:w="80" w:type="dxa"/>
            </w:tcMar>
            <w:vAlign w:val="center"/>
          </w:tcPr>
          <w:p>
            <w:pPr>
              <w:spacing w:after="0" w:line="240" w:lineRule="auto"/>
            </w:pPr>
            <w:r>
              <w:rPr>
                <w:rFonts w:ascii="Arial" w:hAnsi="Arial"/>
                <w:color w:val="141414"/>
                <w:sz w:val="15"/>
              </w:rPr>
              <w:t>Auditability</w:t>
            </w:r>
          </w:p>
        </w:tc>
        <w:tc>
          <w:tcPr>
            <w:tcW w:type="dxa" w:w="5472"/>
            <w:tcMar>
              <w:top w:w="70" w:type="dxa"/>
              <w:start w:w="80" w:type="dxa"/>
              <w:bottom w:w="70" w:type="dxa"/>
              <w:end w:w="80" w:type="dxa"/>
            </w:tcMar>
            <w:vAlign w:val="center"/>
          </w:tcPr>
          <w:p>
            <w:pPr>
              <w:spacing w:after="0" w:line="240" w:lineRule="auto"/>
            </w:pPr>
            <w:r>
              <w:rPr>
                <w:rFonts w:ascii="Arial" w:hAnsi="Arial"/>
                <w:color w:val="141414"/>
                <w:sz w:val="15"/>
              </w:rPr>
              <w:t>Important changes to operational and financial records shall be traceable to an authenticated user and timestamp.</w:t>
            </w:r>
          </w:p>
        </w:tc>
        <w:tc>
          <w:tcPr>
            <w:tcW w:type="dxa" w:w="1944"/>
            <w:tcMar>
              <w:top w:w="70" w:type="dxa"/>
              <w:start w:w="80" w:type="dxa"/>
              <w:bottom w:w="70" w:type="dxa"/>
              <w:end w:w="80" w:type="dxa"/>
            </w:tcMar>
            <w:vAlign w:val="center"/>
          </w:tcPr>
          <w:p>
            <w:pPr>
              <w:spacing w:after="0" w:line="240" w:lineRule="auto"/>
            </w:pPr>
            <w:r>
              <w:rPr>
                <w:rFonts w:ascii="Arial" w:hAnsi="Arial"/>
                <w:color w:val="141414"/>
                <w:sz w:val="15"/>
              </w:rPr>
              <w:t>Test audit events for representative actions.</w:t>
            </w:r>
          </w:p>
        </w:tc>
      </w:tr>
      <w:tr>
        <w:trPr>
          <w:cantSplit/>
        </w:trPr>
        <w:tc>
          <w:tcPr>
            <w:tcW w:type="dxa" w:w="1037"/>
            <w:tcMar>
              <w:top w:w="70" w:type="dxa"/>
              <w:start w:w="80" w:type="dxa"/>
              <w:bottom w:w="70" w:type="dxa"/>
              <w:end w:w="80" w:type="dxa"/>
            </w:tcMar>
            <w:vAlign w:val="center"/>
            <w:shd w:fill="F7F7F7"/>
          </w:tcPr>
          <w:p>
            <w:pPr>
              <w:spacing w:after="0" w:line="240" w:lineRule="auto"/>
            </w:pPr>
            <w:r>
              <w:rPr>
                <w:rFonts w:ascii="Arial" w:hAnsi="Arial"/>
                <w:color w:val="141414"/>
                <w:sz w:val="15"/>
              </w:rPr>
              <w:t>NFR-010</w:t>
            </w:r>
          </w:p>
        </w:tc>
        <w:tc>
          <w:tcPr>
            <w:tcW w:type="dxa" w:w="1656"/>
            <w:tcMar>
              <w:top w:w="70" w:type="dxa"/>
              <w:start w:w="80" w:type="dxa"/>
              <w:bottom w:w="70" w:type="dxa"/>
              <w:end w:w="80" w:type="dxa"/>
            </w:tcMar>
            <w:vAlign w:val="center"/>
            <w:shd w:fill="F7F7F7"/>
          </w:tcPr>
          <w:p>
            <w:pPr>
              <w:spacing w:after="0" w:line="240" w:lineRule="auto"/>
            </w:pPr>
            <w:r>
              <w:rPr>
                <w:rFonts w:ascii="Arial" w:hAnsi="Arial"/>
                <w:color w:val="141414"/>
                <w:sz w:val="15"/>
              </w:rPr>
              <w:t>Performance</w:t>
            </w:r>
          </w:p>
        </w:tc>
        <w:tc>
          <w:tcPr>
            <w:tcW w:type="dxa" w:w="5472"/>
            <w:tcMar>
              <w:top w:w="70" w:type="dxa"/>
              <w:start w:w="80" w:type="dxa"/>
              <w:bottom w:w="70" w:type="dxa"/>
              <w:end w:w="80" w:type="dxa"/>
            </w:tcMar>
            <w:vAlign w:val="center"/>
            <w:shd w:fill="F7F7F7"/>
          </w:tcPr>
          <w:p>
            <w:pPr>
              <w:spacing w:after="0" w:line="240" w:lineRule="auto"/>
            </w:pPr>
            <w:r>
              <w:rPr>
                <w:rFonts w:ascii="Arial" w:hAnsi="Arial"/>
                <w:color w:val="141414"/>
                <w:sz w:val="15"/>
              </w:rPr>
              <w:t>Search, common record views, and report generation should meet response-time targets agreed after expected data volume and deployment constraints are known. No numeric SLA is approved in the source documents.</w:t>
            </w:r>
          </w:p>
        </w:tc>
        <w:tc>
          <w:tcPr>
            <w:tcW w:type="dxa" w:w="1944"/>
            <w:tcMar>
              <w:top w:w="70" w:type="dxa"/>
              <w:start w:w="80" w:type="dxa"/>
              <w:bottom w:w="70" w:type="dxa"/>
              <w:end w:w="80" w:type="dxa"/>
            </w:tcMar>
            <w:vAlign w:val="center"/>
            <w:shd w:fill="F7F7F7"/>
          </w:tcPr>
          <w:p>
            <w:pPr>
              <w:spacing w:after="0" w:line="240" w:lineRule="auto"/>
            </w:pPr>
            <w:r>
              <w:rPr>
                <w:rFonts w:ascii="Arial" w:hAnsi="Arial"/>
                <w:color w:val="141414"/>
                <w:sz w:val="15"/>
              </w:rPr>
              <w:t>Agree workload and thresholds; measure against them.</w:t>
            </w:r>
          </w:p>
        </w:tc>
      </w:tr>
    </w:tbl>
    <w:p>
      <w:pPr>
        <w:spacing w:after="20"/>
      </w:pPr>
    </w:p>
    <w:p>
      <w:pPr>
        <w:pStyle w:val="Heading3"/>
      </w:pPr>
      <w:r>
        <w:t>3.2.1. Performance Requirements</w:t>
      </w:r>
    </w:p>
    <w:p>
      <w:r>
        <w:rPr>
          <w:i w:val="0"/>
        </w:rPr>
        <w:t>NFR-010 covers response time for search, common record views, and report generation. The source documents do not establish a numeric service-level target. Expected data volume, concurrent use, deployment constraints, and response-time targets must be agreed before performance can be objectively accepted. No arbitrary fixed 3-second screen or 10-second report threshold is imposed in this SRS.</w:t>
      </w:r>
    </w:p>
    <w:p>
      <w:pPr>
        <w:pStyle w:val="Heading3"/>
      </w:pPr>
      <w:r>
        <w:t>3.2.2. Safety Requirements</w:t>
      </w:r>
    </w:p>
    <w:p>
      <w:r>
        <w:rPr>
          <w:i w:val="0"/>
        </w:rPr>
        <w:t>RouteX does not control vehicles, perform dispatch, or provide safety-critical driving instructions. To reduce operational risk, the interface should confirm irreversible deletion/deactivation, and production use depends on an agreed backup/recovery arrangement. Data validation and financial reconciliation are addressed by NFR-004, NFR-005, and REQ-024.</w:t>
      </w:r>
    </w:p>
    <w:p>
      <w:pPr>
        <w:pStyle w:val="Heading3"/>
      </w:pPr>
      <w:r>
        <w:t>3.2.3. Security Requirements</w:t>
      </w:r>
    </w:p>
    <w:p>
      <w:r>
        <w:rPr>
          <w:i w:val="0"/>
        </w:rPr>
        <w:t>NFR-001 through NFR-003 and REQ-001/REQ-002 cover secure authentication, production transport security, privacy, server-side authorization, and restricted access to sensitive records and POD files. NFR-009 covers traceability of important changes. Exact per-role permissions remain TBD.</w:t>
      </w:r>
    </w:p>
    <w:p>
      <w:pPr>
        <w:pStyle w:val="Heading3"/>
      </w:pPr>
      <w:r>
        <w:t>3.2.4. Software Quality Attributes</w:t>
      </w:r>
    </w:p>
    <w:p>
      <w:r>
        <w:rPr>
          <w:i w:val="0"/>
        </w:rPr>
        <w:t>The primary quality attributes are data integrity (NFR-004), reliability and recovery planning (NFR-005), usability for internal users (NFR-006), desktop-browser compatibility (NFR-007), maintainability (NFR-008), and auditability (NFR-009). Acceptance checks are defined in the NFR table above; exact browser support and recovery targets remain TBD.</w:t>
      </w:r>
    </w:p>
    <w:p>
      <w:pPr>
        <w:pStyle w:val="Heading3"/>
      </w:pPr>
      <w:r>
        <w:t>3.2.5. Business Rules</w:t>
      </w:r>
    </w:p>
    <w:p>
      <w:pPr>
        <w:pStyle w:val="ListBullet"/>
      </w:pPr>
      <w:r>
        <w:t>BR-01: A RouteX delivery transaction represents a delivery completed in the real world; RouteX is not a live GPS or live dispatch system.</w:t>
      </w:r>
    </w:p>
    <w:p>
      <w:pPr>
        <w:pStyle w:val="ListBullet"/>
      </w:pPr>
      <w:r>
        <w:t>BR-02: Provisional only: delivery-level result equals delivery revenue minus the expenses approved as attributable to that delivery. The exact formula and margin denominator require client approval before use as an official result.</w:t>
      </w:r>
    </w:p>
    <w:p>
      <w:pPr>
        <w:pStyle w:val="ListBullet"/>
      </w:pPr>
      <w:r>
        <w:t>BR-03: Truck-level results are based on the deliveries associated with that truck plus truck-specific costs only if the client explicitly defines them as part of the metric.</w:t>
      </w:r>
    </w:p>
    <w:p>
      <w:pPr>
        <w:pStyle w:val="ListBullet"/>
      </w:pPr>
      <w:r>
        <w:t>BR-04: Company-level result is distinct from delivery and truck margins. Each applicable economic expense must be counted once, even if referenced in multiple reports or summaries.</w:t>
      </w:r>
    </w:p>
    <w:p>
      <w:pPr>
        <w:pStyle w:val="ListBullet"/>
      </w:pPr>
      <w:r>
        <w:t>BR-05: Company overhead shall not be allocated to truck-level margins unless the client approves a specific allocation policy.</w:t>
      </w:r>
    </w:p>
    <w:p>
      <w:pPr>
        <w:pStyle w:val="ListBullet"/>
      </w:pPr>
      <w:r>
        <w:t>BR-06: HR compensation summaries must not duplicate labor/allowance amounts already represented in delivery costs unless the approved reporting model explicitly reconciles the two.</w:t>
      </w:r>
    </w:p>
    <w:p>
      <w:pPr>
        <w:pStyle w:val="ListBullet"/>
      </w:pPr>
      <w:r>
        <w:t>BR-07: The ₱500/hour charge after three hours is mentioned in client context, but its trigger, timer start/stop, partial-hour rounding, approval, and revenue/expense classification remain TBD.</w:t>
      </w:r>
    </w:p>
    <w:p>
      <w:pPr>
        <w:pStyle w:val="ListBullet"/>
      </w:pPr>
      <w:r>
        <w:t>BR-08: The five-included-drops / additional-drop fee reference is not defined sufficiently for calculation and remains TBD.</w:t>
      </w:r>
    </w:p>
    <w:p>
      <w:pPr>
        <w:pStyle w:val="ListBullet"/>
      </w:pPr>
      <w:r>
        <w:t>BR-09: Fuel, labor, toll, overtime, demurrage, permits, entry fees, additional drops, subcontractor payments, salaries, allowances, cash advances, maintenance, insurance, and registration require approved classifications and treatment.</w:t>
      </w:r>
    </w:p>
    <w:p>
      <w:pPr>
        <w:pStyle w:val="ListBullet"/>
      </w:pPr>
      <w:r>
        <w:t>BR-10: Driver/helper rate and allowance examples, payroll cutoff, and pay date are examples from discussion, not universal approved rules.</w:t>
      </w:r>
    </w:p>
    <w:p>
      <w:pPr>
        <w:pStyle w:val="ListBullet"/>
      </w:pPr>
      <w:r>
        <w:t>BR-11: No target margin such as 20% or 30% shall be hard-coded without written client approval.</w:t>
      </w:r>
    </w:p>
    <w:p>
      <w:pPr>
        <w:pStyle w:val="ListBullet"/>
      </w:pPr>
      <w:r>
        <w:t>BR-12: An administrator’s account does not automatically grant permission to edit financial records; the approved role-permission matrix controls access.</w:t>
      </w:r>
    </w:p>
    <w:p>
      <w:pPr>
        <w:pStyle w:val="Heading1"/>
      </w:pPr>
      <w:r>
        <w:t>4. System Model and Diagrams</w:t>
      </w:r>
    </w:p>
    <w:p>
      <w:pPr>
        <w:pStyle w:val="Heading2"/>
      </w:pPr>
      <w:r>
        <w:t>4.1. Use Case Diagrams</w:t>
      </w:r>
    </w:p>
    <w:p>
      <w:pPr>
        <w:keepNext/>
      </w:pPr>
      <w:r>
        <w:rPr>
          <w:i w:val="0"/>
        </w:rPr>
        <w:t>The diagram represents target user responsibilities from the October project documents. The role-permission matrix remains TBD; the diagram does not imply every actor has all actions enabled.</w:t>
      </w:r>
    </w:p>
    <w:p>
      <w:pPr>
        <w:spacing w:after="80"/>
        <w:jc w:val="center"/>
      </w:pPr>
      <w:r>
        <w:drawing>
          <wp:inline xmlns:a="http://schemas.openxmlformats.org/drawingml/2006/main" xmlns:pic="http://schemas.openxmlformats.org/drawingml/2006/picture">
            <wp:extent cx="6080760" cy="2930013"/>
            <wp:docPr id="1" name="Picture 1"/>
            <wp:cNvGraphicFramePr>
              <a:graphicFrameLocks noChangeAspect="1"/>
            </wp:cNvGraphicFramePr>
            <a:graphic>
              <a:graphicData uri="http://schemas.openxmlformats.org/drawingml/2006/picture">
                <pic:pic>
                  <pic:nvPicPr>
                    <pic:cNvPr id="0" name="use_case_compact.png"/>
                    <pic:cNvPicPr/>
                  </pic:nvPicPr>
                  <pic:blipFill>
                    <a:blip r:embed="rId11"/>
                    <a:stretch>
                      <a:fillRect/>
                    </a:stretch>
                  </pic:blipFill>
                  <pic:spPr>
                    <a:xfrm>
                      <a:off x="0" y="0"/>
                      <a:ext cx="6080760" cy="2930013"/>
                    </a:xfrm>
                    <a:prstGeom prst="rect"/>
                  </pic:spPr>
                </pic:pic>
              </a:graphicData>
            </a:graphic>
          </wp:inline>
        </w:drawing>
      </w:r>
    </w:p>
    <w:p>
      <w:r>
        <w:rPr>
          <w:i w:val="0"/>
        </w:rPr>
        <w:t>Operations maintains completed delivery records and POD; Finance maintains non-delivery company expenses; HR maintains compensation summaries; President/Management searches and reviews profitability/reports; Administrator manages approved accounts/roles and reviews authorized audit history.</w:t>
      </w:r>
    </w:p>
    <w:p>
      <w:pPr>
        <w:pStyle w:val="Heading2"/>
      </w:pPr>
      <w:r>
        <w:t>4.2. Entity Relationship Diagrams</w:t>
      </w:r>
    </w:p>
    <w:p>
      <w:r>
        <w:rPr>
          <w:i w:val="0"/>
        </w:rPr>
        <w:t>This is a conceptual ERD candidate, not a finalized implementation schema. Field selection, cardinality, optionality, expense attribution, and compensation allocation depend on client-approved rules.</w:t>
      </w:r>
    </w:p>
    <w:p>
      <w:pPr>
        <w:spacing w:after="80"/>
        <w:jc w:val="center"/>
      </w:pPr>
      <w:r>
        <w:drawing>
          <wp:inline xmlns:a="http://schemas.openxmlformats.org/drawingml/2006/main" xmlns:pic="http://schemas.openxmlformats.org/drawingml/2006/picture">
            <wp:extent cx="5349240" cy="3252196"/>
            <wp:docPr id="2" name="Picture 2"/>
            <wp:cNvGraphicFramePr>
              <a:graphicFrameLocks noChangeAspect="1"/>
            </wp:cNvGraphicFramePr>
            <a:graphic>
              <a:graphicData uri="http://schemas.openxmlformats.org/drawingml/2006/picture">
                <pic:pic>
                  <pic:nvPicPr>
                    <pic:cNvPr id="0" name="conceptual_erd.png"/>
                    <pic:cNvPicPr/>
                  </pic:nvPicPr>
                  <pic:blipFill>
                    <a:blip r:embed="rId12"/>
                    <a:stretch>
                      <a:fillRect/>
                    </a:stretch>
                  </pic:blipFill>
                  <pic:spPr>
                    <a:xfrm>
                      <a:off x="0" y="0"/>
                      <a:ext cx="5349240" cy="3252196"/>
                    </a:xfrm>
                    <a:prstGeom prst="rect"/>
                  </pic:spPr>
                </pic:pic>
              </a:graphicData>
            </a:graphic>
          </wp:inline>
        </w:drawing>
      </w:r>
    </w:p>
    <w:p>
      <w:r>
        <w:rPr>
          <w:i w:val="0"/>
        </w:rPr>
        <w:t>Candidate entities are based on the October SRS/Technical Documentation: User, Role/Permission, Truck, Client, Employee, Delivery, DeliveryCrewAssignment, DeliveryTimestamp, DeliveryRevenueCharge, DeliveryExpense, ExpenseCategory, CompanyExpense, CompensationSummary, PODDocument, and AuditEvent. Confirm whether separate subcontractor/reference entities or further relationships are needed before database implementation.</w:t>
      </w:r>
    </w:p>
    <w:p>
      <w:pPr>
        <w:pStyle w:val="Heading2"/>
      </w:pPr>
      <w:r>
        <w:t>4.3. Activity Diagrams</w:t>
      </w:r>
    </w:p>
    <w:p>
      <w:pPr>
        <w:keepNext/>
      </w:pPr>
      <w:r>
        <w:rPr>
          <w:i w:val="0"/>
        </w:rPr>
        <w:t>The activity flow describes the intended end-to-end process. Delivery activity and company/HR financial inputs remain separately identifiable and join at approved profitability reporting.</w:t>
      </w:r>
    </w:p>
    <w:p>
      <w:pPr>
        <w:spacing w:after="80"/>
        <w:jc w:val="center"/>
      </w:pPr>
      <w:r>
        <w:drawing>
          <wp:inline xmlns:a="http://schemas.openxmlformats.org/drawingml/2006/main" xmlns:pic="http://schemas.openxmlformats.org/drawingml/2006/picture">
            <wp:extent cx="6080760" cy="2655235"/>
            <wp:docPr id="3" name="Picture 3"/>
            <wp:cNvGraphicFramePr>
              <a:graphicFrameLocks noChangeAspect="1"/>
            </wp:cNvGraphicFramePr>
            <a:graphic>
              <a:graphicData uri="http://schemas.openxmlformats.org/drawingml/2006/picture">
                <pic:pic>
                  <pic:nvPicPr>
                    <pic:cNvPr id="0" name="activity_compact.png"/>
                    <pic:cNvPicPr/>
                  </pic:nvPicPr>
                  <pic:blipFill>
                    <a:blip r:embed="rId13"/>
                    <a:stretch>
                      <a:fillRect/>
                    </a:stretch>
                  </pic:blipFill>
                  <pic:spPr>
                    <a:xfrm>
                      <a:off x="0" y="0"/>
                      <a:ext cx="6080760" cy="2655235"/>
                    </a:xfrm>
                    <a:prstGeom prst="rect"/>
                  </pic:spPr>
                </pic:pic>
              </a:graphicData>
            </a:graphic>
          </wp:inline>
        </w:drawing>
      </w:r>
    </w:p>
    <w:p>
      <w:pPr>
        <w:pStyle w:val="Heading1"/>
      </w:pPr>
      <w:r>
        <w:t>5. Other Requirements</w:t>
      </w:r>
    </w:p>
    <w:p>
      <w:pPr>
        <w:pStyle w:val="ListBullet"/>
      </w:pPr>
      <w:r>
        <w:t>The database shall preserve relationships among delivery records, trucks, clients, crew, revenues/charges, delivery expenses, company expenses, compensation summaries, POD files, users, roles, and audit events as finalized in the approved data model.</w:t>
      </w:r>
    </w:p>
    <w:p>
      <w:pPr>
        <w:pStyle w:val="ListBullet"/>
      </w:pPr>
      <w:r>
        <w:t>The system should support printing/exporting reports and a client-agreed data export for turnover. Exact export formats, fields, and delivery method remain TBD.</w:t>
      </w:r>
    </w:p>
    <w:p>
      <w:pPr>
        <w:pStyle w:val="ListBullet"/>
      </w:pPr>
      <w:r>
        <w:t>Production deployment must have named account/operational ownership for application hosting, database, and file storage. Ownership, recurring-cost payer, and operational contacts remain TBD.</w:t>
      </w:r>
    </w:p>
    <w:p>
      <w:pPr>
        <w:pStyle w:val="ListBullet"/>
      </w:pPr>
      <w:r>
        <w:t>Critical financial calculation and access-control paths require testing before UAT; the formal acceptance criteria and UAT sign-off flow must be agreed with the client.</w:t>
      </w:r>
    </w:p>
    <w:p>
      <w:pPr>
        <w:pStyle w:val="ListBullet"/>
      </w:pPr>
      <w:r>
        <w:t>Changes outside the approved system scope must be handled through the written change process in the governing agreement.</w:t>
      </w:r>
    </w:p>
    <w:p>
      <w:pPr>
        <w:pStyle w:val="ListBullet"/>
      </w:pPr>
      <w:r>
        <w:t>The SRS does not replace the project plan, technical documentation, UI specification, privacy review, or signed agreement; requirements must be consistent across the approved deliverables.</w:t>
      </w:r>
    </w:p>
    <w:p>
      <w:pPr>
        <w:pStyle w:val="Heading1"/>
      </w:pPr>
      <w:r>
        <w:t>Appendix A: Glossary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E7E7E7"/>
            <w:tcMar>
              <w:top w:w="70" w:type="dxa"/>
              <w:start w:w="80" w:type="dxa"/>
              <w:bottom w:w="70" w:type="dxa"/>
              <w:end w:w="80" w:type="dxa"/>
            </w:tcMar>
            <w:vAlign w:val="center"/>
          </w:tcPr>
          <w:p>
            <w:pPr>
              <w:spacing w:after="0"/>
            </w:pPr>
            <w:r>
              <w:rPr>
                <w:rFonts w:ascii="Arial" w:hAnsi="Arial"/>
                <w:b/>
                <w:color w:val="000000"/>
                <w:sz w:val="16"/>
              </w:rPr>
              <w:t>Term</w:t>
            </w:r>
          </w:p>
        </w:tc>
        <w:tc>
          <w:tcPr>
            <w:tcW w:type="dxa" w:w="7776"/>
            <w:shd w:fill="E7E7E7"/>
            <w:tcMar>
              <w:top w:w="70" w:type="dxa"/>
              <w:start w:w="80" w:type="dxa"/>
              <w:bottom w:w="70" w:type="dxa"/>
              <w:end w:w="80" w:type="dxa"/>
            </w:tcMar>
            <w:vAlign w:val="center"/>
          </w:tcPr>
          <w:p>
            <w:pPr>
              <w:spacing w:after="0"/>
            </w:pPr>
            <w:r>
              <w:rPr>
                <w:rFonts w:ascii="Arial" w:hAnsi="Arial"/>
                <w:b/>
                <w:color w:val="000000"/>
                <w:sz w:val="16"/>
              </w:rPr>
              <w:t>Meaning in RouteX</w:t>
            </w:r>
          </w:p>
        </w:tc>
      </w:tr>
      <w:tr>
        <w:trPr>
          <w:cantSplit/>
        </w:trPr>
        <w:tc>
          <w:tcPr>
            <w:tcW w:type="dxa" w:w="2232"/>
            <w:tcMar>
              <w:top w:w="70" w:type="dxa"/>
              <w:start w:w="80" w:type="dxa"/>
              <w:bottom w:w="70" w:type="dxa"/>
              <w:end w:w="80" w:type="dxa"/>
            </w:tcMar>
            <w:vAlign w:val="center"/>
          </w:tcPr>
          <w:p>
            <w:pPr>
              <w:spacing w:after="0" w:line="240" w:lineRule="auto"/>
            </w:pPr>
            <w:r>
              <w:rPr>
                <w:rFonts w:ascii="Arial" w:hAnsi="Arial"/>
                <w:color w:val="141414"/>
                <w:sz w:val="16"/>
              </w:rPr>
              <w:t>POD</w:t>
            </w:r>
          </w:p>
        </w:tc>
        <w:tc>
          <w:tcPr>
            <w:tcW w:type="dxa" w:w="7776"/>
            <w:tcMar>
              <w:top w:w="70" w:type="dxa"/>
              <w:start w:w="80" w:type="dxa"/>
              <w:bottom w:w="70" w:type="dxa"/>
              <w:end w:w="80" w:type="dxa"/>
            </w:tcMar>
            <w:vAlign w:val="center"/>
          </w:tcPr>
          <w:p>
            <w:pPr>
              <w:spacing w:after="0" w:line="240" w:lineRule="auto"/>
            </w:pPr>
            <w:r>
              <w:rPr>
                <w:rFonts w:ascii="Arial" w:hAnsi="Arial"/>
                <w:color w:val="141414"/>
                <w:sz w:val="16"/>
              </w:rPr>
              <w:t>Proof of Delivery document associated with a delivery record.</w:t>
            </w:r>
          </w:p>
        </w:tc>
      </w:tr>
      <w:tr>
        <w:trPr>
          <w:cantSplit/>
        </w:trPr>
        <w:tc>
          <w:tcPr>
            <w:tcW w:type="dxa" w:w="2232"/>
            <w:tcMar>
              <w:top w:w="70" w:type="dxa"/>
              <w:start w:w="80" w:type="dxa"/>
              <w:bottom w:w="70" w:type="dxa"/>
              <w:end w:w="80" w:type="dxa"/>
            </w:tcMar>
            <w:vAlign w:val="center"/>
            <w:shd w:fill="F7F7F7"/>
          </w:tcPr>
          <w:p>
            <w:pPr>
              <w:spacing w:after="0" w:line="240" w:lineRule="auto"/>
            </w:pPr>
            <w:r>
              <w:rPr>
                <w:rFonts w:ascii="Arial" w:hAnsi="Arial"/>
                <w:color w:val="141414"/>
                <w:sz w:val="16"/>
              </w:rPr>
              <w:t>Delivery-level result</w:t>
            </w:r>
          </w:p>
        </w:tc>
        <w:tc>
          <w:tcPr>
            <w:tcW w:type="dxa" w:w="7776"/>
            <w:tcMar>
              <w:top w:w="70" w:type="dxa"/>
              <w:start w:w="80" w:type="dxa"/>
              <w:bottom w:w="70" w:type="dxa"/>
              <w:end w:w="80" w:type="dxa"/>
            </w:tcMar>
            <w:vAlign w:val="center"/>
            <w:shd w:fill="F7F7F7"/>
          </w:tcPr>
          <w:p>
            <w:pPr>
              <w:spacing w:after="0" w:line="240" w:lineRule="auto"/>
            </w:pPr>
            <w:r>
              <w:rPr>
                <w:rFonts w:ascii="Arial" w:hAnsi="Arial"/>
                <w:color w:val="141414"/>
                <w:sz w:val="16"/>
              </w:rPr>
              <w:t>Revenue less the expenses approved as attributable to one delivery; final formula requires approval.</w:t>
            </w:r>
          </w:p>
        </w:tc>
      </w:tr>
      <w:tr>
        <w:trPr>
          <w:cantSplit/>
        </w:trPr>
        <w:tc>
          <w:tcPr>
            <w:tcW w:type="dxa" w:w="2232"/>
            <w:tcMar>
              <w:top w:w="70" w:type="dxa"/>
              <w:start w:w="80" w:type="dxa"/>
              <w:bottom w:w="70" w:type="dxa"/>
              <w:end w:w="80" w:type="dxa"/>
            </w:tcMar>
            <w:vAlign w:val="center"/>
          </w:tcPr>
          <w:p>
            <w:pPr>
              <w:spacing w:after="0" w:line="240" w:lineRule="auto"/>
            </w:pPr>
            <w:r>
              <w:rPr>
                <w:rFonts w:ascii="Arial" w:hAnsi="Arial"/>
                <w:color w:val="141414"/>
                <w:sz w:val="16"/>
              </w:rPr>
              <w:t>Truck-level profitability</w:t>
            </w:r>
          </w:p>
        </w:tc>
        <w:tc>
          <w:tcPr>
            <w:tcW w:type="dxa" w:w="7776"/>
            <w:tcMar>
              <w:top w:w="70" w:type="dxa"/>
              <w:start w:w="80" w:type="dxa"/>
              <w:bottom w:w="70" w:type="dxa"/>
              <w:end w:w="80" w:type="dxa"/>
            </w:tcMar>
            <w:vAlign w:val="center"/>
          </w:tcPr>
          <w:p>
            <w:pPr>
              <w:spacing w:after="0" w:line="240" w:lineRule="auto"/>
            </w:pPr>
            <w:r>
              <w:rPr>
                <w:rFonts w:ascii="Arial" w:hAnsi="Arial"/>
                <w:color w:val="141414"/>
                <w:sz w:val="16"/>
              </w:rPr>
              <w:t>Financial summary of deliveries associated with a truck over a selected period using approved inclusion rules.</w:t>
            </w:r>
          </w:p>
        </w:tc>
      </w:tr>
      <w:tr>
        <w:trPr>
          <w:cantSplit/>
        </w:trPr>
        <w:tc>
          <w:tcPr>
            <w:tcW w:type="dxa" w:w="2232"/>
            <w:tcMar>
              <w:top w:w="70" w:type="dxa"/>
              <w:start w:w="80" w:type="dxa"/>
              <w:bottom w:w="70" w:type="dxa"/>
              <w:end w:w="80" w:type="dxa"/>
            </w:tcMar>
            <w:vAlign w:val="center"/>
            <w:shd w:fill="F7F7F7"/>
          </w:tcPr>
          <w:p>
            <w:pPr>
              <w:spacing w:after="0" w:line="240" w:lineRule="auto"/>
            </w:pPr>
            <w:r>
              <w:rPr>
                <w:rFonts w:ascii="Arial" w:hAnsi="Arial"/>
                <w:color w:val="141414"/>
                <w:sz w:val="16"/>
              </w:rPr>
              <w:t>Company-level result</w:t>
            </w:r>
          </w:p>
        </w:tc>
        <w:tc>
          <w:tcPr>
            <w:tcW w:type="dxa" w:w="7776"/>
            <w:tcMar>
              <w:top w:w="70" w:type="dxa"/>
              <w:start w:w="80" w:type="dxa"/>
              <w:bottom w:w="70" w:type="dxa"/>
              <w:end w:w="80" w:type="dxa"/>
            </w:tcMar>
            <w:vAlign w:val="center"/>
            <w:shd w:fill="F7F7F7"/>
          </w:tcPr>
          <w:p>
            <w:pPr>
              <w:spacing w:after="0" w:line="240" w:lineRule="auto"/>
            </w:pPr>
            <w:r>
              <w:rPr>
                <w:rFonts w:ascii="Arial" w:hAnsi="Arial"/>
                <w:color w:val="141414"/>
                <w:sz w:val="16"/>
              </w:rPr>
              <w:t>Company-wide financial view for a selected period, accounting for applicable revenue and expenses with each underlying expense counted once.</w:t>
            </w:r>
          </w:p>
        </w:tc>
      </w:tr>
      <w:tr>
        <w:trPr>
          <w:cantSplit/>
        </w:trPr>
        <w:tc>
          <w:tcPr>
            <w:tcW w:type="dxa" w:w="2232"/>
            <w:tcMar>
              <w:top w:w="70" w:type="dxa"/>
              <w:start w:w="80" w:type="dxa"/>
              <w:bottom w:w="70" w:type="dxa"/>
              <w:end w:w="80" w:type="dxa"/>
            </w:tcMar>
            <w:vAlign w:val="center"/>
          </w:tcPr>
          <w:p>
            <w:pPr>
              <w:spacing w:after="0" w:line="240" w:lineRule="auto"/>
            </w:pPr>
            <w:r>
              <w:rPr>
                <w:rFonts w:ascii="Arial" w:hAnsi="Arial"/>
                <w:color w:val="141414"/>
                <w:sz w:val="16"/>
              </w:rPr>
              <w:t>Company operating expense</w:t>
            </w:r>
          </w:p>
        </w:tc>
        <w:tc>
          <w:tcPr>
            <w:tcW w:type="dxa" w:w="7776"/>
            <w:tcMar>
              <w:top w:w="70" w:type="dxa"/>
              <w:start w:w="80" w:type="dxa"/>
              <w:bottom w:w="70" w:type="dxa"/>
              <w:end w:w="80" w:type="dxa"/>
            </w:tcMar>
            <w:vAlign w:val="center"/>
          </w:tcPr>
          <w:p>
            <w:pPr>
              <w:spacing w:after="0" w:line="240" w:lineRule="auto"/>
            </w:pPr>
            <w:r>
              <w:rPr>
                <w:rFonts w:ascii="Arial" w:hAnsi="Arial"/>
                <w:color w:val="141414"/>
                <w:sz w:val="16"/>
              </w:rPr>
              <w:t>Expense not directly attributable to a specific delivery and recorded separately by Finance.</w:t>
            </w:r>
          </w:p>
        </w:tc>
      </w:tr>
      <w:tr>
        <w:trPr>
          <w:cantSplit/>
        </w:trPr>
        <w:tc>
          <w:tcPr>
            <w:tcW w:type="dxa" w:w="2232"/>
            <w:tcMar>
              <w:top w:w="70" w:type="dxa"/>
              <w:start w:w="80" w:type="dxa"/>
              <w:bottom w:w="70" w:type="dxa"/>
              <w:end w:w="80" w:type="dxa"/>
            </w:tcMar>
            <w:vAlign w:val="center"/>
            <w:shd w:fill="F7F7F7"/>
          </w:tcPr>
          <w:p>
            <w:pPr>
              <w:spacing w:after="0" w:line="240" w:lineRule="auto"/>
            </w:pPr>
            <w:r>
              <w:rPr>
                <w:rFonts w:ascii="Arial" w:hAnsi="Arial"/>
                <w:color w:val="141414"/>
                <w:sz w:val="16"/>
              </w:rPr>
              <w:t>Compensation summary</w:t>
            </w:r>
          </w:p>
        </w:tc>
        <w:tc>
          <w:tcPr>
            <w:tcW w:type="dxa" w:w="7776"/>
            <w:tcMar>
              <w:top w:w="70" w:type="dxa"/>
              <w:start w:w="80" w:type="dxa"/>
              <w:bottom w:w="70" w:type="dxa"/>
              <w:end w:w="80" w:type="dxa"/>
            </w:tcMar>
            <w:vAlign w:val="center"/>
            <w:shd w:fill="F7F7F7"/>
          </w:tcPr>
          <w:p>
            <w:pPr>
              <w:spacing w:after="0" w:line="240" w:lineRule="auto"/>
            </w:pPr>
            <w:r>
              <w:rPr>
                <w:rFonts w:ascii="Arial" w:hAnsi="Arial"/>
                <w:color w:val="141414"/>
                <w:sz w:val="16"/>
              </w:rPr>
              <w:t>Amounts payable to staff, drivers, and helpers recorded or summarized by HR; not necessarily a complete payroll calculation.</w:t>
            </w:r>
          </w:p>
        </w:tc>
      </w:tr>
      <w:tr>
        <w:trPr>
          <w:cantSplit/>
        </w:trPr>
        <w:tc>
          <w:tcPr>
            <w:tcW w:type="dxa" w:w="2232"/>
            <w:tcMar>
              <w:top w:w="70" w:type="dxa"/>
              <w:start w:w="80" w:type="dxa"/>
              <w:bottom w:w="70" w:type="dxa"/>
              <w:end w:w="80" w:type="dxa"/>
            </w:tcMar>
            <w:vAlign w:val="center"/>
          </w:tcPr>
          <w:p>
            <w:pPr>
              <w:spacing w:after="0" w:line="240" w:lineRule="auto"/>
            </w:pPr>
            <w:r>
              <w:rPr>
                <w:rFonts w:ascii="Arial" w:hAnsi="Arial"/>
                <w:color w:val="141414"/>
                <w:sz w:val="16"/>
              </w:rPr>
              <w:t>RBAC</w:t>
            </w:r>
          </w:p>
        </w:tc>
        <w:tc>
          <w:tcPr>
            <w:tcW w:type="dxa" w:w="7776"/>
            <w:tcMar>
              <w:top w:w="70" w:type="dxa"/>
              <w:start w:w="80" w:type="dxa"/>
              <w:bottom w:w="70" w:type="dxa"/>
              <w:end w:w="80" w:type="dxa"/>
            </w:tcMar>
            <w:vAlign w:val="center"/>
          </w:tcPr>
          <w:p>
            <w:pPr>
              <w:spacing w:after="0" w:line="240" w:lineRule="auto"/>
            </w:pPr>
            <w:r>
              <w:rPr>
                <w:rFonts w:ascii="Arial" w:hAnsi="Arial"/>
                <w:color w:val="141414"/>
                <w:sz w:val="16"/>
              </w:rPr>
              <w:t>Role-Based Access Control.</w:t>
            </w:r>
          </w:p>
        </w:tc>
      </w:tr>
      <w:tr>
        <w:trPr>
          <w:cantSplit/>
        </w:trPr>
        <w:tc>
          <w:tcPr>
            <w:tcW w:type="dxa" w:w="2232"/>
            <w:tcMar>
              <w:top w:w="70" w:type="dxa"/>
              <w:start w:w="80" w:type="dxa"/>
              <w:bottom w:w="70" w:type="dxa"/>
              <w:end w:w="80" w:type="dxa"/>
            </w:tcMar>
            <w:vAlign w:val="center"/>
            <w:shd w:fill="F7F7F7"/>
          </w:tcPr>
          <w:p>
            <w:pPr>
              <w:spacing w:after="0" w:line="240" w:lineRule="auto"/>
            </w:pPr>
            <w:r>
              <w:rPr>
                <w:rFonts w:ascii="Arial" w:hAnsi="Arial"/>
                <w:color w:val="141414"/>
                <w:sz w:val="16"/>
              </w:rPr>
              <w:t>TBD</w:t>
            </w:r>
          </w:p>
        </w:tc>
        <w:tc>
          <w:tcPr>
            <w:tcW w:type="dxa" w:w="7776"/>
            <w:tcMar>
              <w:top w:w="70" w:type="dxa"/>
              <w:start w:w="80" w:type="dxa"/>
              <w:bottom w:w="70" w:type="dxa"/>
              <w:end w:w="80" w:type="dxa"/>
            </w:tcMar>
            <w:vAlign w:val="center"/>
            <w:shd w:fill="F7F7F7"/>
          </w:tcPr>
          <w:p>
            <w:pPr>
              <w:spacing w:after="0" w:line="240" w:lineRule="auto"/>
            </w:pPr>
            <w:r>
              <w:rPr>
                <w:rFonts w:ascii="Arial" w:hAnsi="Arial"/>
                <w:color w:val="141414"/>
                <w:sz w:val="16"/>
              </w:rPr>
              <w:t>To Be Determined; requires client/team confirmation before final implementation.</w:t>
            </w:r>
          </w:p>
        </w:tc>
      </w:tr>
      <w:tr>
        <w:trPr>
          <w:cantSplit/>
        </w:trPr>
        <w:tc>
          <w:tcPr>
            <w:tcW w:type="dxa" w:w="2232"/>
            <w:tcMar>
              <w:top w:w="70" w:type="dxa"/>
              <w:start w:w="80" w:type="dxa"/>
              <w:bottom w:w="70" w:type="dxa"/>
              <w:end w:w="80" w:type="dxa"/>
            </w:tcMar>
            <w:vAlign w:val="center"/>
          </w:tcPr>
          <w:p>
            <w:pPr>
              <w:spacing w:after="0" w:line="240" w:lineRule="auto"/>
            </w:pPr>
            <w:r>
              <w:rPr>
                <w:rFonts w:ascii="Arial" w:hAnsi="Arial"/>
                <w:color w:val="141414"/>
                <w:sz w:val="16"/>
              </w:rPr>
              <w:t>UAT</w:t>
            </w:r>
          </w:p>
        </w:tc>
        <w:tc>
          <w:tcPr>
            <w:tcW w:type="dxa" w:w="7776"/>
            <w:tcMar>
              <w:top w:w="70" w:type="dxa"/>
              <w:start w:w="80" w:type="dxa"/>
              <w:bottom w:w="70" w:type="dxa"/>
              <w:end w:w="80" w:type="dxa"/>
            </w:tcMar>
            <w:vAlign w:val="center"/>
          </w:tcPr>
          <w:p>
            <w:pPr>
              <w:spacing w:after="0" w:line="240" w:lineRule="auto"/>
            </w:pPr>
            <w:r>
              <w:rPr>
                <w:rFonts w:ascii="Arial" w:hAnsi="Arial"/>
                <w:color w:val="141414"/>
                <w:sz w:val="16"/>
              </w:rPr>
              <w:t>User Acceptance Testing conducted against agreed requirements before acceptance/turnover.</w:t>
            </w:r>
          </w:p>
        </w:tc>
      </w:tr>
    </w:tbl>
    <w:p>
      <w:pPr>
        <w:spacing w:after="20"/>
      </w:pPr>
    </w:p>
    <w:p>
      <w:pPr>
        <w:pStyle w:val="Heading1"/>
      </w:pPr>
      <w:r>
        <w:t>Appendix B: To Be Determined List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37"/>
            <w:shd w:fill="E7E7E7"/>
            <w:tcMar>
              <w:top w:w="70" w:type="dxa"/>
              <w:start w:w="80" w:type="dxa"/>
              <w:bottom w:w="70" w:type="dxa"/>
              <w:end w:w="80" w:type="dxa"/>
            </w:tcMar>
            <w:vAlign w:val="center"/>
          </w:tcPr>
          <w:p>
            <w:pPr>
              <w:spacing w:after="0"/>
            </w:pPr>
            <w:r>
              <w:rPr>
                <w:rFonts w:ascii="Arial" w:hAnsi="Arial"/>
                <w:b/>
                <w:color w:val="000000"/>
                <w:sz w:val="14"/>
              </w:rPr>
              <w:t>ID</w:t>
            </w:r>
          </w:p>
        </w:tc>
        <w:tc>
          <w:tcPr>
            <w:tcW w:type="dxa" w:w="5184"/>
            <w:shd w:fill="E7E7E7"/>
            <w:tcMar>
              <w:top w:w="70" w:type="dxa"/>
              <w:start w:w="80" w:type="dxa"/>
              <w:bottom w:w="70" w:type="dxa"/>
              <w:end w:w="80" w:type="dxa"/>
            </w:tcMar>
            <w:vAlign w:val="center"/>
          </w:tcPr>
          <w:p>
            <w:pPr>
              <w:spacing w:after="0"/>
            </w:pPr>
            <w:r>
              <w:rPr>
                <w:rFonts w:ascii="Arial" w:hAnsi="Arial"/>
                <w:b/>
                <w:color w:val="000000"/>
                <w:sz w:val="14"/>
              </w:rPr>
              <w:t>Question / unresolved rule</w:t>
            </w:r>
          </w:p>
        </w:tc>
        <w:tc>
          <w:tcPr>
            <w:tcW w:type="dxa" w:w="3816"/>
            <w:shd w:fill="E7E7E7"/>
            <w:tcMar>
              <w:top w:w="70" w:type="dxa"/>
              <w:start w:w="80" w:type="dxa"/>
              <w:bottom w:w="70" w:type="dxa"/>
              <w:end w:w="80" w:type="dxa"/>
            </w:tcMar>
            <w:vAlign w:val="center"/>
          </w:tcPr>
          <w:p>
            <w:pPr>
              <w:spacing w:after="0"/>
            </w:pPr>
            <w:r>
              <w:rPr>
                <w:rFonts w:ascii="Arial" w:hAnsi="Arial"/>
                <w:b/>
                <w:color w:val="000000"/>
                <w:sz w:val="14"/>
              </w:rPr>
              <w:t>Why it matters</w:t>
            </w:r>
          </w:p>
        </w:tc>
      </w:tr>
      <w:tr>
        <w:trPr>
          <w:cantSplit/>
        </w:trPr>
        <w:tc>
          <w:tcPr>
            <w:tcW w:type="dxa" w:w="1037"/>
            <w:tcMar>
              <w:top w:w="70" w:type="dxa"/>
              <w:start w:w="80" w:type="dxa"/>
              <w:bottom w:w="70" w:type="dxa"/>
              <w:end w:w="80" w:type="dxa"/>
            </w:tcMar>
            <w:vAlign w:val="center"/>
          </w:tcPr>
          <w:p>
            <w:pPr>
              <w:spacing w:after="0" w:line="240" w:lineRule="auto"/>
            </w:pPr>
            <w:r>
              <w:rPr>
                <w:rFonts w:ascii="Arial" w:hAnsi="Arial"/>
                <w:color w:val="141414"/>
                <w:sz w:val="14"/>
              </w:rPr>
              <w:t>TBD-01</w:t>
            </w:r>
          </w:p>
        </w:tc>
        <w:tc>
          <w:tcPr>
            <w:tcW w:type="dxa" w:w="5184"/>
            <w:tcMar>
              <w:top w:w="70" w:type="dxa"/>
              <w:start w:w="80" w:type="dxa"/>
              <w:bottom w:w="70" w:type="dxa"/>
              <w:end w:w="80" w:type="dxa"/>
            </w:tcMar>
            <w:vAlign w:val="center"/>
          </w:tcPr>
          <w:p>
            <w:pPr>
              <w:spacing w:after="0" w:line="240" w:lineRule="auto"/>
            </w:pPr>
            <w:r>
              <w:rPr>
                <w:rFonts w:ascii="Arial" w:hAnsi="Arial"/>
                <w:color w:val="141414"/>
                <w:sz w:val="14"/>
              </w:rPr>
              <w:t>Final role-permission matrix, including whether any Customer Service/Monitoring role is active.</w:t>
            </w:r>
          </w:p>
        </w:tc>
        <w:tc>
          <w:tcPr>
            <w:tcW w:type="dxa" w:w="3816"/>
            <w:tcMar>
              <w:top w:w="70" w:type="dxa"/>
              <w:start w:w="80" w:type="dxa"/>
              <w:bottom w:w="70" w:type="dxa"/>
              <w:end w:w="80" w:type="dxa"/>
            </w:tcMar>
            <w:vAlign w:val="center"/>
          </w:tcPr>
          <w:p>
            <w:pPr>
              <w:spacing w:after="0" w:line="240" w:lineRule="auto"/>
            </w:pPr>
            <w:r>
              <w:rPr>
                <w:rFonts w:ascii="Arial" w:hAnsi="Arial"/>
                <w:color w:val="141414"/>
                <w:sz w:val="14"/>
              </w:rPr>
              <w:t>Determines allowed pages, records, edits, exports, and admin actions.</w:t>
            </w:r>
          </w:p>
        </w:tc>
      </w:tr>
      <w:tr>
        <w:trPr>
          <w:cantSplit/>
        </w:trPr>
        <w:tc>
          <w:tcPr>
            <w:tcW w:type="dxa" w:w="1037"/>
            <w:tcMar>
              <w:top w:w="70" w:type="dxa"/>
              <w:start w:w="80" w:type="dxa"/>
              <w:bottom w:w="70" w:type="dxa"/>
              <w:end w:w="80" w:type="dxa"/>
            </w:tcMar>
            <w:vAlign w:val="center"/>
            <w:shd w:fill="F7F7F7"/>
          </w:tcPr>
          <w:p>
            <w:pPr>
              <w:spacing w:after="0" w:line="240" w:lineRule="auto"/>
            </w:pPr>
            <w:r>
              <w:rPr>
                <w:rFonts w:ascii="Arial" w:hAnsi="Arial"/>
                <w:color w:val="141414"/>
                <w:sz w:val="14"/>
              </w:rPr>
              <w:t>TBD-02</w:t>
            </w:r>
          </w:p>
        </w:tc>
        <w:tc>
          <w:tcPr>
            <w:tcW w:type="dxa" w:w="5184"/>
            <w:tcMar>
              <w:top w:w="70" w:type="dxa"/>
              <w:start w:w="80" w:type="dxa"/>
              <w:bottom w:w="70" w:type="dxa"/>
              <w:end w:w="80" w:type="dxa"/>
            </w:tcMar>
            <w:vAlign w:val="center"/>
            <w:shd w:fill="F7F7F7"/>
          </w:tcPr>
          <w:p>
            <w:pPr>
              <w:spacing w:after="0" w:line="240" w:lineRule="auto"/>
            </w:pPr>
            <w:r>
              <w:rPr>
                <w:rFonts w:ascii="Arial" w:hAnsi="Arial"/>
                <w:color w:val="141414"/>
                <w:sz w:val="14"/>
              </w:rPr>
              <w:t>Required delivery fields and edit/delete rules after submission.</w:t>
            </w:r>
          </w:p>
        </w:tc>
        <w:tc>
          <w:tcPr>
            <w:tcW w:type="dxa" w:w="3816"/>
            <w:tcMar>
              <w:top w:w="70" w:type="dxa"/>
              <w:start w:w="80" w:type="dxa"/>
              <w:bottom w:w="70" w:type="dxa"/>
              <w:end w:w="80" w:type="dxa"/>
            </w:tcMar>
            <w:vAlign w:val="center"/>
            <w:shd w:fill="F7F7F7"/>
          </w:tcPr>
          <w:p>
            <w:pPr>
              <w:spacing w:after="0" w:line="240" w:lineRule="auto"/>
            </w:pPr>
            <w:r>
              <w:rPr>
                <w:rFonts w:ascii="Arial" w:hAnsi="Arial"/>
                <w:color w:val="141414"/>
                <w:sz w:val="14"/>
              </w:rPr>
              <w:t>Validation, permissions, and audit requirements.</w:t>
            </w:r>
          </w:p>
        </w:tc>
      </w:tr>
      <w:tr>
        <w:trPr>
          <w:cantSplit/>
        </w:trPr>
        <w:tc>
          <w:tcPr>
            <w:tcW w:type="dxa" w:w="1037"/>
            <w:tcMar>
              <w:top w:w="70" w:type="dxa"/>
              <w:start w:w="80" w:type="dxa"/>
              <w:bottom w:w="70" w:type="dxa"/>
              <w:end w:w="80" w:type="dxa"/>
            </w:tcMar>
            <w:vAlign w:val="center"/>
          </w:tcPr>
          <w:p>
            <w:pPr>
              <w:spacing w:after="0" w:line="240" w:lineRule="auto"/>
            </w:pPr>
            <w:r>
              <w:rPr>
                <w:rFonts w:ascii="Arial" w:hAnsi="Arial"/>
                <w:color w:val="141414"/>
                <w:sz w:val="14"/>
              </w:rPr>
              <w:t>TBD-03</w:t>
            </w:r>
          </w:p>
        </w:tc>
        <w:tc>
          <w:tcPr>
            <w:tcW w:type="dxa" w:w="5184"/>
            <w:tcMar>
              <w:top w:w="70" w:type="dxa"/>
              <w:start w:w="80" w:type="dxa"/>
              <w:bottom w:w="70" w:type="dxa"/>
              <w:end w:w="80" w:type="dxa"/>
            </w:tcMar>
            <w:vAlign w:val="center"/>
          </w:tcPr>
          <w:p>
            <w:pPr>
              <w:spacing w:after="0" w:line="240" w:lineRule="auto"/>
            </w:pPr>
            <w:r>
              <w:rPr>
                <w:rFonts w:ascii="Arial" w:hAnsi="Arial"/>
                <w:color w:val="141414"/>
                <w:sz w:val="14"/>
              </w:rPr>
              <w:t>Definitions and mandatory status for Call Time, ETA/arrival, Start Loading, End Loading, and Departure.</w:t>
            </w:r>
          </w:p>
        </w:tc>
        <w:tc>
          <w:tcPr>
            <w:tcW w:type="dxa" w:w="3816"/>
            <w:tcMar>
              <w:top w:w="70" w:type="dxa"/>
              <w:start w:w="80" w:type="dxa"/>
              <w:bottom w:w="70" w:type="dxa"/>
              <w:end w:w="80" w:type="dxa"/>
            </w:tcMar>
            <w:vAlign w:val="center"/>
          </w:tcPr>
          <w:p>
            <w:pPr>
              <w:spacing w:after="0" w:line="240" w:lineRule="auto"/>
            </w:pPr>
            <w:r>
              <w:rPr>
                <w:rFonts w:ascii="Arial" w:hAnsi="Arial"/>
                <w:color w:val="141414"/>
                <w:sz w:val="14"/>
              </w:rPr>
              <w:t>Correct record capture and time-based charges.</w:t>
            </w:r>
          </w:p>
        </w:tc>
      </w:tr>
      <w:tr>
        <w:trPr>
          <w:cantSplit/>
        </w:trPr>
        <w:tc>
          <w:tcPr>
            <w:tcW w:type="dxa" w:w="1037"/>
            <w:tcMar>
              <w:top w:w="70" w:type="dxa"/>
              <w:start w:w="80" w:type="dxa"/>
              <w:bottom w:w="70" w:type="dxa"/>
              <w:end w:w="80" w:type="dxa"/>
            </w:tcMar>
            <w:vAlign w:val="center"/>
            <w:shd w:fill="F7F7F7"/>
          </w:tcPr>
          <w:p>
            <w:pPr>
              <w:spacing w:after="0" w:line="240" w:lineRule="auto"/>
            </w:pPr>
            <w:r>
              <w:rPr>
                <w:rFonts w:ascii="Arial" w:hAnsi="Arial"/>
                <w:color w:val="141414"/>
                <w:sz w:val="14"/>
              </w:rPr>
              <w:t>TBD-04</w:t>
            </w:r>
          </w:p>
        </w:tc>
        <w:tc>
          <w:tcPr>
            <w:tcW w:type="dxa" w:w="5184"/>
            <w:tcMar>
              <w:top w:w="70" w:type="dxa"/>
              <w:start w:w="80" w:type="dxa"/>
              <w:bottom w:w="70" w:type="dxa"/>
              <w:end w:w="80" w:type="dxa"/>
            </w:tcMar>
            <w:vAlign w:val="center"/>
            <w:shd w:fill="F7F7F7"/>
          </w:tcPr>
          <w:p>
            <w:pPr>
              <w:spacing w:after="0" w:line="240" w:lineRule="auto"/>
            </w:pPr>
            <w:r>
              <w:rPr>
                <w:rFonts w:ascii="Arial" w:hAnsi="Arial"/>
                <w:color w:val="141414"/>
                <w:sz w:val="14"/>
              </w:rPr>
              <w:t>Three-hour threshold and ₱500/hour charge: start/stop points, rounding, approval, and revenue/expense treatment.</w:t>
            </w:r>
          </w:p>
        </w:tc>
        <w:tc>
          <w:tcPr>
            <w:tcW w:type="dxa" w:w="3816"/>
            <w:tcMar>
              <w:top w:w="70" w:type="dxa"/>
              <w:start w:w="80" w:type="dxa"/>
              <w:bottom w:w="70" w:type="dxa"/>
              <w:end w:w="80" w:type="dxa"/>
            </w:tcMar>
            <w:vAlign w:val="center"/>
            <w:shd w:fill="F7F7F7"/>
          </w:tcPr>
          <w:p>
            <w:pPr>
              <w:spacing w:after="0" w:line="240" w:lineRule="auto"/>
            </w:pPr>
            <w:r>
              <w:rPr>
                <w:rFonts w:ascii="Arial" w:hAnsi="Arial"/>
                <w:color w:val="141414"/>
                <w:sz w:val="14"/>
              </w:rPr>
              <w:t>Prevents unsupported charge calculations.</w:t>
            </w:r>
          </w:p>
        </w:tc>
      </w:tr>
      <w:tr>
        <w:trPr>
          <w:cantSplit/>
        </w:trPr>
        <w:tc>
          <w:tcPr>
            <w:tcW w:type="dxa" w:w="1037"/>
            <w:tcMar>
              <w:top w:w="70" w:type="dxa"/>
              <w:start w:w="80" w:type="dxa"/>
              <w:bottom w:w="70" w:type="dxa"/>
              <w:end w:w="80" w:type="dxa"/>
            </w:tcMar>
            <w:vAlign w:val="center"/>
          </w:tcPr>
          <w:p>
            <w:pPr>
              <w:spacing w:after="0" w:line="240" w:lineRule="auto"/>
            </w:pPr>
            <w:r>
              <w:rPr>
                <w:rFonts w:ascii="Arial" w:hAnsi="Arial"/>
                <w:color w:val="141414"/>
                <w:sz w:val="14"/>
              </w:rPr>
              <w:t>TBD-05</w:t>
            </w:r>
          </w:p>
        </w:tc>
        <w:tc>
          <w:tcPr>
            <w:tcW w:type="dxa" w:w="5184"/>
            <w:tcMar>
              <w:top w:w="70" w:type="dxa"/>
              <w:start w:w="80" w:type="dxa"/>
              <w:bottom w:w="70" w:type="dxa"/>
              <w:end w:w="80" w:type="dxa"/>
            </w:tcMar>
            <w:vAlign w:val="center"/>
          </w:tcPr>
          <w:p>
            <w:pPr>
              <w:spacing w:after="0" w:line="240" w:lineRule="auto"/>
            </w:pPr>
            <w:r>
              <w:rPr>
                <w:rFonts w:ascii="Arial" w:hAnsi="Arial"/>
                <w:color w:val="141414"/>
                <w:sz w:val="14"/>
              </w:rPr>
              <w:t>Meaning of the five included drops and charge per additional drop.</w:t>
            </w:r>
          </w:p>
        </w:tc>
        <w:tc>
          <w:tcPr>
            <w:tcW w:type="dxa" w:w="3816"/>
            <w:tcMar>
              <w:top w:w="70" w:type="dxa"/>
              <w:start w:w="80" w:type="dxa"/>
              <w:bottom w:w="70" w:type="dxa"/>
              <w:end w:w="80" w:type="dxa"/>
            </w:tcMar>
            <w:vAlign w:val="center"/>
          </w:tcPr>
          <w:p>
            <w:pPr>
              <w:spacing w:after="0" w:line="240" w:lineRule="auto"/>
            </w:pPr>
            <w:r>
              <w:rPr>
                <w:rFonts w:ascii="Arial" w:hAnsi="Arial"/>
                <w:color w:val="141414"/>
                <w:sz w:val="14"/>
              </w:rPr>
              <w:t>Correct additional revenue/expense treatment.</w:t>
            </w:r>
          </w:p>
        </w:tc>
      </w:tr>
      <w:tr>
        <w:trPr>
          <w:cantSplit/>
        </w:trPr>
        <w:tc>
          <w:tcPr>
            <w:tcW w:type="dxa" w:w="1037"/>
            <w:tcMar>
              <w:top w:w="70" w:type="dxa"/>
              <w:start w:w="80" w:type="dxa"/>
              <w:bottom w:w="70" w:type="dxa"/>
              <w:end w:w="80" w:type="dxa"/>
            </w:tcMar>
            <w:vAlign w:val="center"/>
            <w:shd w:fill="F7F7F7"/>
          </w:tcPr>
          <w:p>
            <w:pPr>
              <w:spacing w:after="0" w:line="240" w:lineRule="auto"/>
            </w:pPr>
            <w:r>
              <w:rPr>
                <w:rFonts w:ascii="Arial" w:hAnsi="Arial"/>
                <w:color w:val="141414"/>
                <w:sz w:val="14"/>
              </w:rPr>
              <w:t>TBD-06</w:t>
            </w:r>
          </w:p>
        </w:tc>
        <w:tc>
          <w:tcPr>
            <w:tcW w:type="dxa" w:w="5184"/>
            <w:tcMar>
              <w:top w:w="70" w:type="dxa"/>
              <w:start w:w="80" w:type="dxa"/>
              <w:bottom w:w="70" w:type="dxa"/>
              <w:end w:w="80" w:type="dxa"/>
            </w:tcMar>
            <w:vAlign w:val="center"/>
            <w:shd w:fill="F7F7F7"/>
          </w:tcPr>
          <w:p>
            <w:pPr>
              <w:spacing w:after="0" w:line="240" w:lineRule="auto"/>
            </w:pPr>
            <w:r>
              <w:rPr>
                <w:rFonts w:ascii="Arial" w:hAnsi="Arial"/>
                <w:color w:val="141414"/>
                <w:sz w:val="14"/>
              </w:rPr>
              <w:t>Whether overtime, demurrage, permits, entry fees, and additional drops are revenue, expenses, or context-dependent.</w:t>
            </w:r>
          </w:p>
        </w:tc>
        <w:tc>
          <w:tcPr>
            <w:tcW w:type="dxa" w:w="3816"/>
            <w:tcMar>
              <w:top w:w="70" w:type="dxa"/>
              <w:start w:w="80" w:type="dxa"/>
              <w:bottom w:w="70" w:type="dxa"/>
              <w:end w:w="80" w:type="dxa"/>
            </w:tcMar>
            <w:vAlign w:val="center"/>
            <w:shd w:fill="F7F7F7"/>
          </w:tcPr>
          <w:p>
            <w:pPr>
              <w:spacing w:after="0" w:line="240" w:lineRule="auto"/>
            </w:pPr>
            <w:r>
              <w:rPr>
                <w:rFonts w:ascii="Arial" w:hAnsi="Arial"/>
                <w:color w:val="141414"/>
                <w:sz w:val="14"/>
              </w:rPr>
              <w:t>Expense classification and report accuracy.</w:t>
            </w:r>
          </w:p>
        </w:tc>
      </w:tr>
      <w:tr>
        <w:trPr>
          <w:cantSplit/>
        </w:trPr>
        <w:tc>
          <w:tcPr>
            <w:tcW w:type="dxa" w:w="1037"/>
            <w:tcMar>
              <w:top w:w="70" w:type="dxa"/>
              <w:start w:w="80" w:type="dxa"/>
              <w:bottom w:w="70" w:type="dxa"/>
              <w:end w:w="80" w:type="dxa"/>
            </w:tcMar>
            <w:vAlign w:val="center"/>
          </w:tcPr>
          <w:p>
            <w:pPr>
              <w:spacing w:after="0" w:line="240" w:lineRule="auto"/>
            </w:pPr>
            <w:r>
              <w:rPr>
                <w:rFonts w:ascii="Arial" w:hAnsi="Arial"/>
                <w:color w:val="141414"/>
                <w:sz w:val="14"/>
              </w:rPr>
              <w:t>TBD-07</w:t>
            </w:r>
          </w:p>
        </w:tc>
        <w:tc>
          <w:tcPr>
            <w:tcW w:type="dxa" w:w="5184"/>
            <w:tcMar>
              <w:top w:w="70" w:type="dxa"/>
              <w:start w:w="80" w:type="dxa"/>
              <w:bottom w:w="70" w:type="dxa"/>
              <w:end w:w="80" w:type="dxa"/>
            </w:tcMar>
            <w:vAlign w:val="center"/>
          </w:tcPr>
          <w:p>
            <w:pPr>
              <w:spacing w:after="0" w:line="240" w:lineRule="auto"/>
            </w:pPr>
            <w:r>
              <w:rPr>
                <w:rFonts w:ascii="Arial" w:hAnsi="Arial"/>
                <w:color w:val="141414"/>
                <w:sz w:val="14"/>
              </w:rPr>
              <w:t>₱700 daily rate, minimum ₱350 allowance, recipients, trip/payroll split, and reconciliation.</w:t>
            </w:r>
          </w:p>
        </w:tc>
        <w:tc>
          <w:tcPr>
            <w:tcW w:type="dxa" w:w="3816"/>
            <w:tcMar>
              <w:top w:w="70" w:type="dxa"/>
              <w:start w:w="80" w:type="dxa"/>
              <w:bottom w:w="70" w:type="dxa"/>
              <w:end w:w="80" w:type="dxa"/>
            </w:tcMar>
            <w:vAlign w:val="center"/>
          </w:tcPr>
          <w:p>
            <w:pPr>
              <w:spacing w:after="0" w:line="240" w:lineRule="auto"/>
            </w:pPr>
            <w:r>
              <w:rPr>
                <w:rFonts w:ascii="Arial" w:hAnsi="Arial"/>
                <w:color w:val="141414"/>
                <w:sz w:val="14"/>
              </w:rPr>
              <w:t>Compensation accuracy and no duplicate labor cost.</w:t>
            </w:r>
          </w:p>
        </w:tc>
      </w:tr>
      <w:tr>
        <w:trPr>
          <w:cantSplit/>
        </w:trPr>
        <w:tc>
          <w:tcPr>
            <w:tcW w:type="dxa" w:w="1037"/>
            <w:tcMar>
              <w:top w:w="70" w:type="dxa"/>
              <w:start w:w="80" w:type="dxa"/>
              <w:bottom w:w="70" w:type="dxa"/>
              <w:end w:w="80" w:type="dxa"/>
            </w:tcMar>
            <w:vAlign w:val="center"/>
            <w:shd w:fill="F7F7F7"/>
          </w:tcPr>
          <w:p>
            <w:pPr>
              <w:spacing w:after="0" w:line="240" w:lineRule="auto"/>
            </w:pPr>
            <w:r>
              <w:rPr>
                <w:rFonts w:ascii="Arial" w:hAnsi="Arial"/>
                <w:color w:val="141414"/>
                <w:sz w:val="14"/>
              </w:rPr>
              <w:t>TBD-08</w:t>
            </w:r>
          </w:p>
        </w:tc>
        <w:tc>
          <w:tcPr>
            <w:tcW w:type="dxa" w:w="5184"/>
            <w:tcMar>
              <w:top w:w="70" w:type="dxa"/>
              <w:start w:w="80" w:type="dxa"/>
              <w:bottom w:w="70" w:type="dxa"/>
              <w:end w:w="80" w:type="dxa"/>
            </w:tcMar>
            <w:vAlign w:val="center"/>
            <w:shd w:fill="F7F7F7"/>
          </w:tcPr>
          <w:p>
            <w:pPr>
              <w:spacing w:after="0" w:line="240" w:lineRule="auto"/>
            </w:pPr>
            <w:r>
              <w:rPr>
                <w:rFonts w:ascii="Arial" w:hAnsi="Arial"/>
                <w:color w:val="141414"/>
                <w:sz w:val="14"/>
              </w:rPr>
              <w:t>Payroll cutoff/payout rules, employee-specific rates, and whether the app summarizes or calculates any payroll values.</w:t>
            </w:r>
          </w:p>
        </w:tc>
        <w:tc>
          <w:tcPr>
            <w:tcW w:type="dxa" w:w="3816"/>
            <w:tcMar>
              <w:top w:w="70" w:type="dxa"/>
              <w:start w:w="80" w:type="dxa"/>
              <w:bottom w:w="70" w:type="dxa"/>
              <w:end w:w="80" w:type="dxa"/>
            </w:tcMar>
            <w:vAlign w:val="center"/>
            <w:shd w:fill="F7F7F7"/>
          </w:tcPr>
          <w:p>
            <w:pPr>
              <w:spacing w:after="0" w:line="240" w:lineRule="auto"/>
            </w:pPr>
            <w:r>
              <w:rPr>
                <w:rFonts w:ascii="Arial" w:hAnsi="Arial"/>
                <w:color w:val="141414"/>
                <w:sz w:val="14"/>
              </w:rPr>
              <w:t>Defines HR module boundary.</w:t>
            </w:r>
          </w:p>
        </w:tc>
      </w:tr>
      <w:tr>
        <w:trPr>
          <w:cantSplit/>
        </w:trPr>
        <w:tc>
          <w:tcPr>
            <w:tcW w:type="dxa" w:w="1037"/>
            <w:tcMar>
              <w:top w:w="70" w:type="dxa"/>
              <w:start w:w="80" w:type="dxa"/>
              <w:bottom w:w="70" w:type="dxa"/>
              <w:end w:w="80" w:type="dxa"/>
            </w:tcMar>
            <w:vAlign w:val="center"/>
          </w:tcPr>
          <w:p>
            <w:pPr>
              <w:spacing w:after="0" w:line="240" w:lineRule="auto"/>
            </w:pPr>
            <w:r>
              <w:rPr>
                <w:rFonts w:ascii="Arial" w:hAnsi="Arial"/>
                <w:color w:val="141414"/>
                <w:sz w:val="14"/>
              </w:rPr>
              <w:t>TBD-09</w:t>
            </w:r>
          </w:p>
        </w:tc>
        <w:tc>
          <w:tcPr>
            <w:tcW w:type="dxa" w:w="5184"/>
            <w:tcMar>
              <w:top w:w="70" w:type="dxa"/>
              <w:start w:w="80" w:type="dxa"/>
              <w:bottom w:w="70" w:type="dxa"/>
              <w:end w:w="80" w:type="dxa"/>
            </w:tcMar>
            <w:vAlign w:val="center"/>
          </w:tcPr>
          <w:p>
            <w:pPr>
              <w:spacing w:after="0" w:line="240" w:lineRule="auto"/>
            </w:pPr>
            <w:r>
              <w:rPr>
                <w:rFonts w:ascii="Arial" w:hAnsi="Arial"/>
                <w:color w:val="141414"/>
                <w:sz w:val="14"/>
              </w:rPr>
              <w:t>How compensation is attributed where an employee works across multiple deliveries/trucks.</w:t>
            </w:r>
          </w:p>
        </w:tc>
        <w:tc>
          <w:tcPr>
            <w:tcW w:type="dxa" w:w="3816"/>
            <w:tcMar>
              <w:top w:w="70" w:type="dxa"/>
              <w:start w:w="80" w:type="dxa"/>
              <w:bottom w:w="70" w:type="dxa"/>
              <w:end w:w="80" w:type="dxa"/>
            </w:tcMar>
            <w:vAlign w:val="center"/>
          </w:tcPr>
          <w:p>
            <w:pPr>
              <w:spacing w:after="0" w:line="240" w:lineRule="auto"/>
            </w:pPr>
            <w:r>
              <w:rPr>
                <w:rFonts w:ascii="Arial" w:hAnsi="Arial"/>
                <w:color w:val="141414"/>
                <w:sz w:val="14"/>
              </w:rPr>
              <w:t>Prevents distorted truck/company results.</w:t>
            </w:r>
          </w:p>
        </w:tc>
      </w:tr>
      <w:tr>
        <w:trPr>
          <w:cantSplit/>
        </w:trPr>
        <w:tc>
          <w:tcPr>
            <w:tcW w:type="dxa" w:w="1037"/>
            <w:tcMar>
              <w:top w:w="70" w:type="dxa"/>
              <w:start w:w="80" w:type="dxa"/>
              <w:bottom w:w="70" w:type="dxa"/>
              <w:end w:w="80" w:type="dxa"/>
            </w:tcMar>
            <w:vAlign w:val="center"/>
            <w:shd w:fill="F7F7F7"/>
          </w:tcPr>
          <w:p>
            <w:pPr>
              <w:spacing w:after="0" w:line="240" w:lineRule="auto"/>
            </w:pPr>
            <w:r>
              <w:rPr>
                <w:rFonts w:ascii="Arial" w:hAnsi="Arial"/>
                <w:color w:val="141414"/>
                <w:sz w:val="14"/>
              </w:rPr>
              <w:t>TBD-10</w:t>
            </w:r>
          </w:p>
        </w:tc>
        <w:tc>
          <w:tcPr>
            <w:tcW w:type="dxa" w:w="5184"/>
            <w:tcMar>
              <w:top w:w="70" w:type="dxa"/>
              <w:start w:w="80" w:type="dxa"/>
              <w:bottom w:w="70" w:type="dxa"/>
              <w:end w:w="80" w:type="dxa"/>
            </w:tcMar>
            <w:vAlign w:val="center"/>
            <w:shd w:fill="F7F7F7"/>
          </w:tcPr>
          <w:p>
            <w:pPr>
              <w:spacing w:after="0" w:line="240" w:lineRule="auto"/>
            </w:pPr>
            <w:r>
              <w:rPr>
                <w:rFonts w:ascii="Arial" w:hAnsi="Arial"/>
                <w:color w:val="141414"/>
                <w:sz w:val="14"/>
              </w:rPr>
              <w:t>Treatment of owned versus subcontracted trucks and subcontractor payments in delivery/truck margin.</w:t>
            </w:r>
          </w:p>
        </w:tc>
        <w:tc>
          <w:tcPr>
            <w:tcW w:type="dxa" w:w="3816"/>
            <w:tcMar>
              <w:top w:w="70" w:type="dxa"/>
              <w:start w:w="80" w:type="dxa"/>
              <w:bottom w:w="70" w:type="dxa"/>
              <w:end w:w="80" w:type="dxa"/>
            </w:tcMar>
            <w:vAlign w:val="center"/>
            <w:shd w:fill="F7F7F7"/>
          </w:tcPr>
          <w:p>
            <w:pPr>
              <w:spacing w:after="0" w:line="240" w:lineRule="auto"/>
            </w:pPr>
            <w:r>
              <w:rPr>
                <w:rFonts w:ascii="Arial" w:hAnsi="Arial"/>
                <w:color w:val="141414"/>
                <w:sz w:val="14"/>
              </w:rPr>
              <w:t>Defines profitability results.</w:t>
            </w:r>
          </w:p>
        </w:tc>
      </w:tr>
      <w:tr>
        <w:trPr>
          <w:cantSplit/>
        </w:trPr>
        <w:tc>
          <w:tcPr>
            <w:tcW w:type="dxa" w:w="1037"/>
            <w:tcMar>
              <w:top w:w="70" w:type="dxa"/>
              <w:start w:w="80" w:type="dxa"/>
              <w:bottom w:w="70" w:type="dxa"/>
              <w:end w:w="80" w:type="dxa"/>
            </w:tcMar>
            <w:vAlign w:val="center"/>
          </w:tcPr>
          <w:p>
            <w:pPr>
              <w:spacing w:after="0" w:line="240" w:lineRule="auto"/>
            </w:pPr>
            <w:r>
              <w:rPr>
                <w:rFonts w:ascii="Arial" w:hAnsi="Arial"/>
                <w:color w:val="141414"/>
                <w:sz w:val="14"/>
              </w:rPr>
              <w:t>TBD-11</w:t>
            </w:r>
          </w:p>
        </w:tc>
        <w:tc>
          <w:tcPr>
            <w:tcW w:type="dxa" w:w="5184"/>
            <w:tcMar>
              <w:top w:w="70" w:type="dxa"/>
              <w:start w:w="80" w:type="dxa"/>
              <w:bottom w:w="70" w:type="dxa"/>
              <w:end w:w="80" w:type="dxa"/>
            </w:tcMar>
            <w:vAlign w:val="center"/>
          </w:tcPr>
          <w:p>
            <w:pPr>
              <w:spacing w:after="0" w:line="240" w:lineRule="auto"/>
            </w:pPr>
            <w:r>
              <w:rPr>
                <w:rFonts w:ascii="Arial" w:hAnsi="Arial"/>
                <w:color w:val="141414"/>
                <w:sz w:val="14"/>
              </w:rPr>
              <w:t>Handling of cancelled, incomplete, disputed, adjusted, refunded, or duplicate deliveries.</w:t>
            </w:r>
          </w:p>
        </w:tc>
        <w:tc>
          <w:tcPr>
            <w:tcW w:type="dxa" w:w="3816"/>
            <w:tcMar>
              <w:top w:w="70" w:type="dxa"/>
              <w:start w:w="80" w:type="dxa"/>
              <w:bottom w:w="70" w:type="dxa"/>
              <w:end w:w="80" w:type="dxa"/>
            </w:tcMar>
            <w:vAlign w:val="center"/>
          </w:tcPr>
          <w:p>
            <w:pPr>
              <w:spacing w:after="0" w:line="240" w:lineRule="auto"/>
            </w:pPr>
            <w:r>
              <w:rPr>
                <w:rFonts w:ascii="Arial" w:hAnsi="Arial"/>
                <w:color w:val="141414"/>
                <w:sz w:val="14"/>
              </w:rPr>
              <w:t>Data lifecycle and reporting consistency.</w:t>
            </w:r>
          </w:p>
        </w:tc>
      </w:tr>
      <w:tr>
        <w:trPr>
          <w:cantSplit/>
        </w:trPr>
        <w:tc>
          <w:tcPr>
            <w:tcW w:type="dxa" w:w="1037"/>
            <w:tcMar>
              <w:top w:w="70" w:type="dxa"/>
              <w:start w:w="80" w:type="dxa"/>
              <w:bottom w:w="70" w:type="dxa"/>
              <w:end w:w="80" w:type="dxa"/>
            </w:tcMar>
            <w:vAlign w:val="center"/>
            <w:shd w:fill="F7F7F7"/>
          </w:tcPr>
          <w:p>
            <w:pPr>
              <w:spacing w:after="0" w:line="240" w:lineRule="auto"/>
            </w:pPr>
            <w:r>
              <w:rPr>
                <w:rFonts w:ascii="Arial" w:hAnsi="Arial"/>
                <w:color w:val="141414"/>
                <w:sz w:val="14"/>
              </w:rPr>
              <w:t>TBD-12</w:t>
            </w:r>
          </w:p>
        </w:tc>
        <w:tc>
          <w:tcPr>
            <w:tcW w:type="dxa" w:w="5184"/>
            <w:tcMar>
              <w:top w:w="70" w:type="dxa"/>
              <w:start w:w="80" w:type="dxa"/>
              <w:bottom w:w="70" w:type="dxa"/>
              <w:end w:w="80" w:type="dxa"/>
            </w:tcMar>
            <w:vAlign w:val="center"/>
            <w:shd w:fill="F7F7F7"/>
          </w:tcPr>
          <w:p>
            <w:pPr>
              <w:spacing w:after="0" w:line="240" w:lineRule="auto"/>
            </w:pPr>
            <w:r>
              <w:rPr>
                <w:rFonts w:ascii="Arial" w:hAnsi="Arial"/>
                <w:color w:val="141414"/>
                <w:sz w:val="14"/>
              </w:rPr>
              <w:t>Company-level profit formula and whether any overhead allocation is required.</w:t>
            </w:r>
          </w:p>
        </w:tc>
        <w:tc>
          <w:tcPr>
            <w:tcW w:type="dxa" w:w="3816"/>
            <w:tcMar>
              <w:top w:w="70" w:type="dxa"/>
              <w:start w:w="80" w:type="dxa"/>
              <w:bottom w:w="70" w:type="dxa"/>
              <w:end w:w="80" w:type="dxa"/>
            </w:tcMar>
            <w:vAlign w:val="center"/>
            <w:shd w:fill="F7F7F7"/>
          </w:tcPr>
          <w:p>
            <w:pPr>
              <w:spacing w:after="0" w:line="240" w:lineRule="auto"/>
            </w:pPr>
            <w:r>
              <w:rPr>
                <w:rFonts w:ascii="Arial" w:hAnsi="Arial"/>
                <w:color w:val="141414"/>
                <w:sz w:val="14"/>
              </w:rPr>
              <w:t>Prevents double counting and unsupported allocations.</w:t>
            </w:r>
          </w:p>
        </w:tc>
      </w:tr>
      <w:tr>
        <w:trPr>
          <w:cantSplit/>
        </w:trPr>
        <w:tc>
          <w:tcPr>
            <w:tcW w:type="dxa" w:w="1037"/>
            <w:tcMar>
              <w:top w:w="70" w:type="dxa"/>
              <w:start w:w="80" w:type="dxa"/>
              <w:bottom w:w="70" w:type="dxa"/>
              <w:end w:w="80" w:type="dxa"/>
            </w:tcMar>
            <w:vAlign w:val="center"/>
          </w:tcPr>
          <w:p>
            <w:pPr>
              <w:spacing w:after="0" w:line="240" w:lineRule="auto"/>
            </w:pPr>
            <w:r>
              <w:rPr>
                <w:rFonts w:ascii="Arial" w:hAnsi="Arial"/>
                <w:color w:val="141414"/>
                <w:sz w:val="14"/>
              </w:rPr>
              <w:t>TBD-13</w:t>
            </w:r>
          </w:p>
        </w:tc>
        <w:tc>
          <w:tcPr>
            <w:tcW w:type="dxa" w:w="5184"/>
            <w:tcMar>
              <w:top w:w="70" w:type="dxa"/>
              <w:start w:w="80" w:type="dxa"/>
              <w:bottom w:w="70" w:type="dxa"/>
              <w:end w:w="80" w:type="dxa"/>
            </w:tcMar>
            <w:vAlign w:val="center"/>
          </w:tcPr>
          <w:p>
            <w:pPr>
              <w:spacing w:after="0" w:line="240" w:lineRule="auto"/>
            </w:pPr>
            <w:r>
              <w:rPr>
                <w:rFonts w:ascii="Arial" w:hAnsi="Arial"/>
                <w:color w:val="141414"/>
                <w:sz w:val="14"/>
              </w:rPr>
              <w:t>Retention, backup schedule, restore expectations, file limits, supported types, deletion/archive policy, and exports.</w:t>
            </w:r>
          </w:p>
        </w:tc>
        <w:tc>
          <w:tcPr>
            <w:tcW w:type="dxa" w:w="3816"/>
            <w:tcMar>
              <w:top w:w="70" w:type="dxa"/>
              <w:start w:w="80" w:type="dxa"/>
              <w:bottom w:w="70" w:type="dxa"/>
              <w:end w:w="80" w:type="dxa"/>
            </w:tcMar>
            <w:vAlign w:val="center"/>
          </w:tcPr>
          <w:p>
            <w:pPr>
              <w:spacing w:after="0" w:line="240" w:lineRule="auto"/>
            </w:pPr>
            <w:r>
              <w:rPr>
                <w:rFonts w:ascii="Arial" w:hAnsi="Arial"/>
                <w:color w:val="141414"/>
                <w:sz w:val="14"/>
              </w:rPr>
              <w:t>Production readiness and data protection.</w:t>
            </w:r>
          </w:p>
        </w:tc>
      </w:tr>
      <w:tr>
        <w:trPr>
          <w:cantSplit/>
        </w:trPr>
        <w:tc>
          <w:tcPr>
            <w:tcW w:type="dxa" w:w="1037"/>
            <w:tcMar>
              <w:top w:w="70" w:type="dxa"/>
              <w:start w:w="80" w:type="dxa"/>
              <w:bottom w:w="70" w:type="dxa"/>
              <w:end w:w="80" w:type="dxa"/>
            </w:tcMar>
            <w:vAlign w:val="center"/>
            <w:shd w:fill="F7F7F7"/>
          </w:tcPr>
          <w:p>
            <w:pPr>
              <w:spacing w:after="0" w:line="240" w:lineRule="auto"/>
            </w:pPr>
            <w:r>
              <w:rPr>
                <w:rFonts w:ascii="Arial" w:hAnsi="Arial"/>
                <w:color w:val="141414"/>
                <w:sz w:val="14"/>
              </w:rPr>
              <w:t>TBD-14</w:t>
            </w:r>
          </w:p>
        </w:tc>
        <w:tc>
          <w:tcPr>
            <w:tcW w:type="dxa" w:w="5184"/>
            <w:tcMar>
              <w:top w:w="70" w:type="dxa"/>
              <w:start w:w="80" w:type="dxa"/>
              <w:bottom w:w="70" w:type="dxa"/>
              <w:end w:w="80" w:type="dxa"/>
            </w:tcMar>
            <w:vAlign w:val="center"/>
            <w:shd w:fill="F7F7F7"/>
          </w:tcPr>
          <w:p>
            <w:pPr>
              <w:spacing w:after="0" w:line="240" w:lineRule="auto"/>
            </w:pPr>
            <w:r>
              <w:rPr>
                <w:rFonts w:ascii="Arial" w:hAnsi="Arial"/>
                <w:color w:val="141414"/>
                <w:sz w:val="14"/>
              </w:rPr>
              <w:t>Hosting/account ownership, production plan, recurring-cost payer, and operational owner.</w:t>
            </w:r>
          </w:p>
        </w:tc>
        <w:tc>
          <w:tcPr>
            <w:tcW w:type="dxa" w:w="3816"/>
            <w:tcMar>
              <w:top w:w="70" w:type="dxa"/>
              <w:start w:w="80" w:type="dxa"/>
              <w:bottom w:w="70" w:type="dxa"/>
              <w:end w:w="80" w:type="dxa"/>
            </w:tcMar>
            <w:vAlign w:val="center"/>
            <w:shd w:fill="F7F7F7"/>
          </w:tcPr>
          <w:p>
            <w:pPr>
              <w:spacing w:after="0" w:line="240" w:lineRule="auto"/>
            </w:pPr>
            <w:r>
              <w:rPr>
                <w:rFonts w:ascii="Arial" w:hAnsi="Arial"/>
                <w:color w:val="141414"/>
                <w:sz w:val="14"/>
              </w:rPr>
              <w:t>Deployment responsibility and cost clarity.</w:t>
            </w:r>
          </w:p>
        </w:tc>
      </w:tr>
      <w:tr>
        <w:trPr>
          <w:cantSplit/>
        </w:trPr>
        <w:tc>
          <w:tcPr>
            <w:tcW w:type="dxa" w:w="1037"/>
            <w:tcMar>
              <w:top w:w="70" w:type="dxa"/>
              <w:start w:w="80" w:type="dxa"/>
              <w:bottom w:w="70" w:type="dxa"/>
              <w:end w:w="80" w:type="dxa"/>
            </w:tcMar>
            <w:vAlign w:val="center"/>
          </w:tcPr>
          <w:p>
            <w:pPr>
              <w:spacing w:after="0" w:line="240" w:lineRule="auto"/>
            </w:pPr>
            <w:r>
              <w:rPr>
                <w:rFonts w:ascii="Arial" w:hAnsi="Arial"/>
                <w:color w:val="141414"/>
                <w:sz w:val="14"/>
              </w:rPr>
              <w:t>TBD-15</w:t>
            </w:r>
          </w:p>
        </w:tc>
        <w:tc>
          <w:tcPr>
            <w:tcW w:type="dxa" w:w="5184"/>
            <w:tcMar>
              <w:top w:w="70" w:type="dxa"/>
              <w:start w:w="80" w:type="dxa"/>
              <w:bottom w:w="70" w:type="dxa"/>
              <w:end w:w="80" w:type="dxa"/>
            </w:tcMar>
            <w:vAlign w:val="center"/>
          </w:tcPr>
          <w:p>
            <w:pPr>
              <w:spacing w:after="0" w:line="240" w:lineRule="auto"/>
            </w:pPr>
            <w:r>
              <w:rPr>
                <w:rFonts w:ascii="Arial" w:hAnsi="Arial"/>
                <w:color w:val="141414"/>
                <w:sz w:val="14"/>
              </w:rPr>
              <w:t>Auth.js/Supabase integration and final authorization/database-policy design.</w:t>
            </w:r>
          </w:p>
        </w:tc>
        <w:tc>
          <w:tcPr>
            <w:tcW w:type="dxa" w:w="3816"/>
            <w:tcMar>
              <w:top w:w="70" w:type="dxa"/>
              <w:start w:w="80" w:type="dxa"/>
              <w:bottom w:w="70" w:type="dxa"/>
              <w:end w:w="80" w:type="dxa"/>
            </w:tcMar>
            <w:vAlign w:val="center"/>
          </w:tcPr>
          <w:p>
            <w:pPr>
              <w:spacing w:after="0" w:line="240" w:lineRule="auto"/>
            </w:pPr>
            <w:r>
              <w:rPr>
                <w:rFonts w:ascii="Arial" w:hAnsi="Arial"/>
                <w:color w:val="141414"/>
                <w:sz w:val="14"/>
              </w:rPr>
              <w:t>Technical feasibility and server-side data protection.</w:t>
            </w:r>
          </w:p>
        </w:tc>
      </w:tr>
      <w:tr>
        <w:trPr>
          <w:cantSplit/>
        </w:trPr>
        <w:tc>
          <w:tcPr>
            <w:tcW w:type="dxa" w:w="1037"/>
            <w:tcMar>
              <w:top w:w="70" w:type="dxa"/>
              <w:start w:w="80" w:type="dxa"/>
              <w:bottom w:w="70" w:type="dxa"/>
              <w:end w:w="80" w:type="dxa"/>
            </w:tcMar>
            <w:vAlign w:val="center"/>
            <w:shd w:fill="F7F7F7"/>
          </w:tcPr>
          <w:p>
            <w:pPr>
              <w:spacing w:after="0" w:line="240" w:lineRule="auto"/>
            </w:pPr>
            <w:r>
              <w:rPr>
                <w:rFonts w:ascii="Arial" w:hAnsi="Arial"/>
                <w:color w:val="141414"/>
                <w:sz w:val="14"/>
              </w:rPr>
              <w:t>TBD-16</w:t>
            </w:r>
          </w:p>
        </w:tc>
        <w:tc>
          <w:tcPr>
            <w:tcW w:type="dxa" w:w="5184"/>
            <w:tcMar>
              <w:top w:w="70" w:type="dxa"/>
              <w:start w:w="80" w:type="dxa"/>
              <w:bottom w:w="70" w:type="dxa"/>
              <w:end w:w="80" w:type="dxa"/>
            </w:tcMar>
            <w:vAlign w:val="center"/>
            <w:shd w:fill="F7F7F7"/>
          </w:tcPr>
          <w:p>
            <w:pPr>
              <w:spacing w:after="0" w:line="240" w:lineRule="auto"/>
            </w:pPr>
            <w:r>
              <w:rPr>
                <w:rFonts w:ascii="Arial" w:hAnsi="Arial"/>
                <w:color w:val="141414"/>
                <w:sz w:val="14"/>
              </w:rPr>
              <w:t>Response-time targets, expected record volumes, concurrent users, and supported browser/device scope.</w:t>
            </w:r>
          </w:p>
        </w:tc>
        <w:tc>
          <w:tcPr>
            <w:tcW w:type="dxa" w:w="3816"/>
            <w:tcMar>
              <w:top w:w="70" w:type="dxa"/>
              <w:start w:w="80" w:type="dxa"/>
              <w:bottom w:w="70" w:type="dxa"/>
              <w:end w:w="80" w:type="dxa"/>
            </w:tcMar>
            <w:vAlign w:val="center"/>
            <w:shd w:fill="F7F7F7"/>
          </w:tcPr>
          <w:p>
            <w:pPr>
              <w:spacing w:after="0" w:line="240" w:lineRule="auto"/>
            </w:pPr>
            <w:r>
              <w:rPr>
                <w:rFonts w:ascii="Arial" w:hAnsi="Arial"/>
                <w:color w:val="141414"/>
                <w:sz w:val="14"/>
              </w:rPr>
              <w:t>Measurable nonfunctional acceptance criteria.</w:t>
            </w:r>
          </w:p>
        </w:tc>
      </w:tr>
      <w:tr>
        <w:trPr>
          <w:cantSplit/>
        </w:trPr>
        <w:tc>
          <w:tcPr>
            <w:tcW w:type="dxa" w:w="1037"/>
            <w:tcMar>
              <w:top w:w="70" w:type="dxa"/>
              <w:start w:w="80" w:type="dxa"/>
              <w:bottom w:w="70" w:type="dxa"/>
              <w:end w:w="80" w:type="dxa"/>
            </w:tcMar>
            <w:vAlign w:val="center"/>
          </w:tcPr>
          <w:p>
            <w:pPr>
              <w:spacing w:after="0" w:line="240" w:lineRule="auto"/>
            </w:pPr>
            <w:r>
              <w:rPr>
                <w:rFonts w:ascii="Arial" w:hAnsi="Arial"/>
                <w:color w:val="141414"/>
                <w:sz w:val="14"/>
              </w:rPr>
              <w:t>TBD-17</w:t>
            </w:r>
          </w:p>
        </w:tc>
        <w:tc>
          <w:tcPr>
            <w:tcW w:type="dxa" w:w="5184"/>
            <w:tcMar>
              <w:top w:w="70" w:type="dxa"/>
              <w:start w:w="80" w:type="dxa"/>
              <w:bottom w:w="70" w:type="dxa"/>
              <w:end w:w="80" w:type="dxa"/>
            </w:tcMar>
            <w:vAlign w:val="center"/>
          </w:tcPr>
          <w:p>
            <w:pPr>
              <w:spacing w:after="0" w:line="240" w:lineRule="auto"/>
            </w:pPr>
            <w:r>
              <w:rPr>
                <w:rFonts w:ascii="Arial" w:hAnsi="Arial"/>
                <w:color w:val="141414"/>
                <w:sz w:val="14"/>
              </w:rPr>
              <w:t>Which prototype features currently exist in the actual codebase versus design mockup, especially HR summaries, company-level drill-down, and audit behavior.</w:t>
            </w:r>
          </w:p>
        </w:tc>
        <w:tc>
          <w:tcPr>
            <w:tcW w:type="dxa" w:w="3816"/>
            <w:tcMar>
              <w:top w:w="70" w:type="dxa"/>
              <w:start w:w="80" w:type="dxa"/>
              <w:bottom w:w="70" w:type="dxa"/>
              <w:end w:w="80" w:type="dxa"/>
            </w:tcMar>
            <w:vAlign w:val="center"/>
          </w:tcPr>
          <w:p>
            <w:pPr>
              <w:spacing w:after="0" w:line="240" w:lineRule="auto"/>
            </w:pPr>
            <w:r>
              <w:rPr>
                <w:rFonts w:ascii="Arial" w:hAnsi="Arial"/>
                <w:color w:val="141414"/>
                <w:sz w:val="14"/>
              </w:rPr>
              <w:t>Prevents requirements from being mistaken for implemented features.</w:t>
            </w:r>
          </w:p>
        </w:tc>
      </w:tr>
      <w:tr>
        <w:trPr>
          <w:cantSplit/>
        </w:trPr>
        <w:tc>
          <w:tcPr>
            <w:tcW w:type="dxa" w:w="1037"/>
            <w:tcMar>
              <w:top w:w="70" w:type="dxa"/>
              <w:start w:w="80" w:type="dxa"/>
              <w:bottom w:w="70" w:type="dxa"/>
              <w:end w:w="80" w:type="dxa"/>
            </w:tcMar>
            <w:vAlign w:val="center"/>
            <w:shd w:fill="F7F7F7"/>
          </w:tcPr>
          <w:p>
            <w:pPr>
              <w:spacing w:after="0" w:line="240" w:lineRule="auto"/>
            </w:pPr>
            <w:r>
              <w:rPr>
                <w:rFonts w:ascii="Arial" w:hAnsi="Arial"/>
                <w:color w:val="141414"/>
                <w:sz w:val="14"/>
              </w:rPr>
              <w:t>TBD-18</w:t>
            </w:r>
          </w:p>
        </w:tc>
        <w:tc>
          <w:tcPr>
            <w:tcW w:type="dxa" w:w="5184"/>
            <w:tcMar>
              <w:top w:w="70" w:type="dxa"/>
              <w:start w:w="80" w:type="dxa"/>
              <w:bottom w:w="70" w:type="dxa"/>
              <w:end w:w="80" w:type="dxa"/>
            </w:tcMar>
            <w:vAlign w:val="center"/>
            <w:shd w:fill="F7F7F7"/>
          </w:tcPr>
          <w:p>
            <w:pPr>
              <w:spacing w:after="0" w:line="240" w:lineRule="auto"/>
            </w:pPr>
            <w:r>
              <w:rPr>
                <w:rFonts w:ascii="Arial" w:hAnsi="Arial"/>
                <w:color w:val="141414"/>
                <w:sz w:val="14"/>
              </w:rPr>
              <w:t>Confirm missing-POD/data-completeness cue, report output formats, and dashboard metrics as approved MVP scope.</w:t>
            </w:r>
          </w:p>
        </w:tc>
        <w:tc>
          <w:tcPr>
            <w:tcW w:type="dxa" w:w="3816"/>
            <w:tcMar>
              <w:top w:w="70" w:type="dxa"/>
              <w:start w:w="80" w:type="dxa"/>
              <w:bottom w:w="70" w:type="dxa"/>
              <w:end w:w="80" w:type="dxa"/>
            </w:tcMar>
            <w:vAlign w:val="center"/>
            <w:shd w:fill="F7F7F7"/>
          </w:tcPr>
          <w:p>
            <w:pPr>
              <w:spacing w:after="0" w:line="240" w:lineRule="auto"/>
            </w:pPr>
            <w:r>
              <w:rPr>
                <w:rFonts w:ascii="Arial" w:hAnsi="Arial"/>
                <w:color w:val="141414"/>
                <w:sz w:val="14"/>
              </w:rPr>
              <w:t>Controls scope and acceptance.</w:t>
            </w:r>
          </w:p>
        </w:tc>
      </w:tr>
      <w:tr>
        <w:trPr>
          <w:cantSplit/>
        </w:trPr>
        <w:tc>
          <w:tcPr>
            <w:tcW w:type="dxa" w:w="1037"/>
            <w:tcMar>
              <w:top w:w="70" w:type="dxa"/>
              <w:start w:w="80" w:type="dxa"/>
              <w:bottom w:w="70" w:type="dxa"/>
              <w:end w:w="80" w:type="dxa"/>
            </w:tcMar>
            <w:vAlign w:val="center"/>
          </w:tcPr>
          <w:p>
            <w:pPr>
              <w:spacing w:after="0" w:line="240" w:lineRule="auto"/>
            </w:pPr>
            <w:r>
              <w:rPr>
                <w:rFonts w:ascii="Arial" w:hAnsi="Arial"/>
                <w:color w:val="141414"/>
                <w:sz w:val="14"/>
              </w:rPr>
              <w:t>TBD-19</w:t>
            </w:r>
          </w:p>
        </w:tc>
        <w:tc>
          <w:tcPr>
            <w:tcW w:type="dxa" w:w="5184"/>
            <w:tcMar>
              <w:top w:w="70" w:type="dxa"/>
              <w:start w:w="80" w:type="dxa"/>
              <w:bottom w:w="70" w:type="dxa"/>
              <w:end w:w="80" w:type="dxa"/>
            </w:tcMar>
            <w:vAlign w:val="center"/>
          </w:tcPr>
          <w:p>
            <w:pPr>
              <w:spacing w:after="0" w:line="240" w:lineRule="auto"/>
            </w:pPr>
            <w:r>
              <w:rPr>
                <w:rFonts w:ascii="Arial" w:hAnsi="Arial"/>
                <w:color w:val="141414"/>
                <w:sz w:val="14"/>
              </w:rPr>
              <w:t>Formal acceptance criteria, UAT participants, defect severity rules, and sign-off process.</w:t>
            </w:r>
          </w:p>
        </w:tc>
        <w:tc>
          <w:tcPr>
            <w:tcW w:type="dxa" w:w="3816"/>
            <w:tcMar>
              <w:top w:w="70" w:type="dxa"/>
              <w:start w:w="80" w:type="dxa"/>
              <w:bottom w:w="70" w:type="dxa"/>
              <w:end w:w="80" w:type="dxa"/>
            </w:tcMar>
            <w:vAlign w:val="center"/>
          </w:tcPr>
          <w:p>
            <w:pPr>
              <w:spacing w:after="0" w:line="240" w:lineRule="auto"/>
            </w:pPr>
            <w:r>
              <w:rPr>
                <w:rFonts w:ascii="Arial" w:hAnsi="Arial"/>
                <w:color w:val="141414"/>
                <w:sz w:val="14"/>
              </w:rPr>
              <w:t>Determines when the system is accepted.</w:t>
            </w:r>
          </w:p>
        </w:tc>
      </w:tr>
      <w:tr>
        <w:trPr>
          <w:cantSplit/>
        </w:trPr>
        <w:tc>
          <w:tcPr>
            <w:tcW w:type="dxa" w:w="1037"/>
            <w:tcMar>
              <w:top w:w="70" w:type="dxa"/>
              <w:start w:w="80" w:type="dxa"/>
              <w:bottom w:w="70" w:type="dxa"/>
              <w:end w:w="80" w:type="dxa"/>
            </w:tcMar>
            <w:vAlign w:val="center"/>
            <w:shd w:fill="F7F7F7"/>
          </w:tcPr>
          <w:p>
            <w:pPr>
              <w:spacing w:after="0" w:line="240" w:lineRule="auto"/>
            </w:pPr>
            <w:r>
              <w:rPr>
                <w:rFonts w:ascii="Arial" w:hAnsi="Arial"/>
                <w:color w:val="141414"/>
                <w:sz w:val="14"/>
              </w:rPr>
              <w:t>TBD-20</w:t>
            </w:r>
          </w:p>
        </w:tc>
        <w:tc>
          <w:tcPr>
            <w:tcW w:type="dxa" w:w="5184"/>
            <w:tcMar>
              <w:top w:w="70" w:type="dxa"/>
              <w:start w:w="80" w:type="dxa"/>
              <w:bottom w:w="70" w:type="dxa"/>
              <w:end w:w="80" w:type="dxa"/>
            </w:tcMar>
            <w:vAlign w:val="center"/>
            <w:shd w:fill="F7F7F7"/>
          </w:tcPr>
          <w:p>
            <w:pPr>
              <w:spacing w:after="0" w:line="240" w:lineRule="auto"/>
            </w:pPr>
            <w:r>
              <w:rPr>
                <w:rFonts w:ascii="Arial" w:hAnsi="Arial"/>
                <w:color w:val="141414"/>
                <w:sz w:val="14"/>
              </w:rPr>
              <w:t>Resolve the LOA maintenance/support-period and date inconsistencies in the actual signed contract version.</w:t>
            </w:r>
          </w:p>
        </w:tc>
        <w:tc>
          <w:tcPr>
            <w:tcW w:type="dxa" w:w="3816"/>
            <w:tcMar>
              <w:top w:w="70" w:type="dxa"/>
              <w:start w:w="80" w:type="dxa"/>
              <w:bottom w:w="70" w:type="dxa"/>
              <w:end w:w="80" w:type="dxa"/>
            </w:tcMar>
            <w:vAlign w:val="center"/>
            <w:shd w:fill="F7F7F7"/>
          </w:tcPr>
          <w:p>
            <w:pPr>
              <w:spacing w:after="0" w:line="240" w:lineRule="auto"/>
            </w:pPr>
            <w:r>
              <w:rPr>
                <w:rFonts w:ascii="Arial" w:hAnsi="Arial"/>
                <w:color w:val="141414"/>
                <w:sz w:val="14"/>
              </w:rPr>
              <w:t>Contractual consistency; kept separate from product functionality.</w:t>
            </w:r>
          </w:p>
        </w:tc>
      </w:tr>
    </w:tbl>
    <w:p>
      <w:pPr>
        <w:spacing w:after="20"/>
      </w:pPr>
    </w:p>
    <w:p>
      <w:pPr>
        <w:pStyle w:val="Heading1"/>
      </w:pPr>
      <w:r>
        <w:t>Appendix C: References</w:t>
      </w:r>
    </w:p>
    <w:p>
      <w:pPr>
        <w:pStyle w:val="ListBullet"/>
      </w:pPr>
      <w:r>
        <w:t>RouteX_SRS.pdf, Version 1.0 source PDF, dated September 26, 2026. Used as the structural/TOC baseline and an earlier statement of scope; not assumed to reflect every current decision.</w:t>
      </w:r>
    </w:p>
    <w:p>
      <w:pPr>
        <w:pStyle w:val="ListBullet"/>
      </w:pPr>
      <w:r>
        <w:t>RouteX_SRS_Updated_v1.1.docx, October 2026 working revision. Used as one source for clarified requirements; cross-checked rather than automatically treated as authoritative.</w:t>
      </w:r>
    </w:p>
    <w:p>
      <w:pPr>
        <w:pStyle w:val="ListBullet"/>
      </w:pPr>
      <w:r>
        <w:t>RouteX_Project_Plan.docx and RouteX_updated_documents/RouteX_Project_Plan_Updated.docx, October 2026. Used for documented scope, responsibilities, proposed schedule, project limits, and pending decisions.</w:t>
      </w:r>
    </w:p>
    <w:p>
      <w:pPr>
        <w:pStyle w:val="ListBullet"/>
      </w:pPr>
      <w:r>
        <w:t>RouteX_ PROJECT TECHNICAL DOCUMENTATION.docx.pdf and RouteX_updated_documents/RouteX_Technical_Documentation_Updated.docx. Used for module descriptions, platform constraints, candidate entities, and financial/data-integrity notes.</w:t>
      </w:r>
    </w:p>
    <w:p>
      <w:pPr>
        <w:pStyle w:val="ListBullet"/>
      </w:pPr>
      <w:r>
        <w:t>RouteX_LETTER OF AGREEMENT.docx.pdf and RouteX_LOA_Aligned_Updated.docx. Used to cross-check objectives, out-of-scope items, acceptance/UAT, turnover, and contractual constraints. The available aligned file still contains inconsistent maintenance/support wording and requires correction.</w:t>
      </w:r>
    </w:p>
    <w:p>
      <w:pPr>
        <w:pStyle w:val="ListBullet"/>
      </w:pPr>
      <w:r>
        <w:t>RouteX_ SWOT Analysis.docx.pdf and RouteX_updated_documents/RouteX_SWOT_Updated.docx. Used for problem context, user/team context, and supporting rationale.</w:t>
      </w:r>
    </w:p>
    <w:p>
      <w:pPr>
        <w:pStyle w:val="ListBullet"/>
      </w:pPr>
      <w:r>
        <w:t>RtX_-prototype-z(4).html, current available UI prototype artifact. Used only as evidence of a design snapshot and visible navigation; mock data/UI logic is not treated as proof of production implementation or approved business rules.</w:t>
      </w:r>
    </w:p>
    <w:p>
      <w:pPr>
        <w:pStyle w:val="Heading1"/>
      </w:pPr>
      <w:r>
        <w:t>Requirements Validation / Consistency Review</w:t>
      </w:r>
    </w:p>
    <w:p>
      <w:r>
        <w:rPr>
          <w:i w:val="0"/>
        </w:rPr>
        <w:t>The following checks record where the current documents agree and where evidence is insufficient. “Consistent” means supported across the reviewed project documents, not necessarily implemented in code.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E7E7E7"/>
            <w:tcMar>
              <w:top w:w="70" w:type="dxa"/>
              <w:start w:w="80" w:type="dxa"/>
              <w:bottom w:w="70" w:type="dxa"/>
              <w:end w:w="80" w:type="dxa"/>
            </w:tcMar>
            <w:vAlign w:val="center"/>
          </w:tcPr>
          <w:p>
            <w:pPr>
              <w:spacing w:after="0"/>
            </w:pPr>
            <w:r>
              <w:rPr>
                <w:rFonts w:ascii="Arial" w:hAnsi="Arial"/>
                <w:b/>
                <w:color w:val="000000"/>
                <w:sz w:val="14"/>
              </w:rPr>
              <w:t>Review item</w:t>
            </w:r>
          </w:p>
        </w:tc>
        <w:tc>
          <w:tcPr>
            <w:tcW w:type="dxa" w:w="1843"/>
            <w:shd w:fill="E7E7E7"/>
            <w:tcMar>
              <w:top w:w="70" w:type="dxa"/>
              <w:start w:w="80" w:type="dxa"/>
              <w:bottom w:w="70" w:type="dxa"/>
              <w:end w:w="80" w:type="dxa"/>
            </w:tcMar>
            <w:vAlign w:val="center"/>
          </w:tcPr>
          <w:p>
            <w:pPr>
              <w:spacing w:after="0"/>
            </w:pPr>
            <w:r>
              <w:rPr>
                <w:rFonts w:ascii="Arial" w:hAnsi="Arial"/>
                <w:b/>
                <w:color w:val="000000"/>
                <w:sz w:val="14"/>
              </w:rPr>
              <w:t>Status</w:t>
            </w:r>
          </w:p>
        </w:tc>
        <w:tc>
          <w:tcPr>
            <w:tcW w:type="dxa" w:w="5904"/>
            <w:shd w:fill="E7E7E7"/>
            <w:tcMar>
              <w:top w:w="70" w:type="dxa"/>
              <w:start w:w="80" w:type="dxa"/>
              <w:bottom w:w="70" w:type="dxa"/>
              <w:end w:w="80" w:type="dxa"/>
            </w:tcMar>
            <w:vAlign w:val="center"/>
          </w:tcPr>
          <w:p>
            <w:pPr>
              <w:spacing w:after="0"/>
            </w:pPr>
            <w:r>
              <w:rPr>
                <w:rFonts w:ascii="Arial" w:hAnsi="Arial"/>
                <w:b/>
                <w:color w:val="000000"/>
                <w:sz w:val="14"/>
              </w:rPr>
              <w:t>Evidence / action</w:t>
            </w:r>
          </w:p>
        </w:tc>
      </w:tr>
      <w:tr>
        <w:trPr>
          <w:cantSplit/>
        </w:trPr>
        <w:tc>
          <w:tcPr>
            <w:tcW w:type="dxa" w:w="2232"/>
            <w:tcMar>
              <w:top w:w="70" w:type="dxa"/>
              <w:start w:w="80" w:type="dxa"/>
              <w:bottom w:w="70" w:type="dxa"/>
              <w:end w:w="80" w:type="dxa"/>
            </w:tcMar>
            <w:vAlign w:val="center"/>
          </w:tcPr>
          <w:p>
            <w:pPr>
              <w:spacing w:after="0" w:line="240" w:lineRule="auto"/>
            </w:pPr>
            <w:r>
              <w:rPr>
                <w:rFonts w:ascii="Arial" w:hAnsi="Arial"/>
                <w:color w:val="141414"/>
                <w:sz w:val="14"/>
              </w:rPr>
              <w:t>TOC and section structure</w:t>
            </w:r>
          </w:p>
        </w:tc>
        <w:tc>
          <w:tcPr>
            <w:tcW w:type="dxa" w:w="1843"/>
            <w:tcMar>
              <w:top w:w="70" w:type="dxa"/>
              <w:start w:w="80" w:type="dxa"/>
              <w:bottom w:w="70" w:type="dxa"/>
              <w:end w:w="80" w:type="dxa"/>
            </w:tcMar>
            <w:vAlign w:val="center"/>
          </w:tcPr>
          <w:p>
            <w:pPr>
              <w:spacing w:after="0" w:line="240" w:lineRule="auto"/>
            </w:pPr>
            <w:r>
              <w:rPr>
                <w:rFonts w:ascii="Arial" w:hAnsi="Arial"/>
                <w:color w:val="141414"/>
                <w:sz w:val="14"/>
              </w:rPr>
              <w:t>[x] Updated</w:t>
            </w:r>
          </w:p>
        </w:tc>
        <w:tc>
          <w:tcPr>
            <w:tcW w:type="dxa" w:w="5904"/>
            <w:tcMar>
              <w:top w:w="70" w:type="dxa"/>
              <w:start w:w="80" w:type="dxa"/>
              <w:bottom w:w="70" w:type="dxa"/>
              <w:end w:w="80" w:type="dxa"/>
            </w:tcMar>
            <w:vAlign w:val="center"/>
          </w:tcPr>
          <w:p>
            <w:pPr>
              <w:spacing w:after="0" w:line="240" w:lineRule="auto"/>
            </w:pPr>
            <w:r>
              <w:rPr>
                <w:rFonts w:ascii="Arial" w:hAnsi="Arial"/>
                <w:color w:val="141414"/>
                <w:sz w:val="14"/>
              </w:rPr>
              <w:t>Uses the section sequence of RouteX_SRS.pdf. The outdated SRS-Template (1).docx structure was not used.</w:t>
            </w:r>
          </w:p>
        </w:tc>
      </w:tr>
      <w:tr>
        <w:trPr>
          <w:cantSplit/>
        </w:trPr>
        <w:tc>
          <w:tcPr>
            <w:tcW w:type="dxa" w:w="2232"/>
            <w:tcMar>
              <w:top w:w="70" w:type="dxa"/>
              <w:start w:w="80" w:type="dxa"/>
              <w:bottom w:w="70" w:type="dxa"/>
              <w:end w:w="80" w:type="dxa"/>
            </w:tcMar>
            <w:vAlign w:val="center"/>
            <w:shd w:fill="F7F7F7"/>
          </w:tcPr>
          <w:p>
            <w:pPr>
              <w:spacing w:after="0" w:line="240" w:lineRule="auto"/>
            </w:pPr>
            <w:r>
              <w:rPr>
                <w:rFonts w:ascii="Arial" w:hAnsi="Arial"/>
                <w:color w:val="141414"/>
                <w:sz w:val="14"/>
              </w:rPr>
              <w:t>Post-delivery workflow</w:t>
            </w:r>
          </w:p>
        </w:tc>
        <w:tc>
          <w:tcPr>
            <w:tcW w:type="dxa" w:w="1843"/>
            <w:tcMar>
              <w:top w:w="70" w:type="dxa"/>
              <w:start w:w="80" w:type="dxa"/>
              <w:bottom w:w="70" w:type="dxa"/>
              <w:end w:w="80" w:type="dxa"/>
            </w:tcMar>
            <w:vAlign w:val="center"/>
            <w:shd w:fill="F7F7F7"/>
          </w:tcPr>
          <w:p>
            <w:pPr>
              <w:spacing w:after="0" w:line="240" w:lineRule="auto"/>
            </w:pPr>
            <w:r>
              <w:rPr>
                <w:rFonts w:ascii="Arial" w:hAnsi="Arial"/>
                <w:color w:val="141414"/>
                <w:sz w:val="14"/>
              </w:rPr>
              <w:t>[x] Consistent</w:t>
            </w:r>
          </w:p>
        </w:tc>
        <w:tc>
          <w:tcPr>
            <w:tcW w:type="dxa" w:w="5904"/>
            <w:tcMar>
              <w:top w:w="70" w:type="dxa"/>
              <w:start w:w="80" w:type="dxa"/>
              <w:bottom w:w="70" w:type="dxa"/>
              <w:end w:w="80" w:type="dxa"/>
            </w:tcMar>
            <w:vAlign w:val="center"/>
            <w:shd w:fill="F7F7F7"/>
          </w:tcPr>
          <w:p>
            <w:pPr>
              <w:spacing w:after="0" w:line="240" w:lineRule="auto"/>
            </w:pPr>
            <w:r>
              <w:rPr>
                <w:rFonts w:ascii="Arial" w:hAnsi="Arial"/>
                <w:color w:val="141414"/>
                <w:sz w:val="14"/>
              </w:rPr>
              <w:t>LOA, October Project Plan, Technical Documentation, and SRS v1.1 describe entry after actual delivery completion; no live GPS/dispatch.</w:t>
            </w:r>
          </w:p>
        </w:tc>
      </w:tr>
      <w:tr>
        <w:trPr>
          <w:cantSplit/>
        </w:trPr>
        <w:tc>
          <w:tcPr>
            <w:tcW w:type="dxa" w:w="2232"/>
            <w:tcMar>
              <w:top w:w="70" w:type="dxa"/>
              <w:start w:w="80" w:type="dxa"/>
              <w:bottom w:w="70" w:type="dxa"/>
              <w:end w:w="80" w:type="dxa"/>
            </w:tcMar>
            <w:vAlign w:val="center"/>
          </w:tcPr>
          <w:p>
            <w:pPr>
              <w:spacing w:after="0" w:line="240" w:lineRule="auto"/>
            </w:pPr>
            <w:r>
              <w:rPr>
                <w:rFonts w:ascii="Arial" w:hAnsi="Arial"/>
                <w:color w:val="141414"/>
                <w:sz w:val="14"/>
              </w:rPr>
              <w:t>Operations / Finance / HR responsibilities</w:t>
            </w:r>
          </w:p>
        </w:tc>
        <w:tc>
          <w:tcPr>
            <w:tcW w:type="dxa" w:w="1843"/>
            <w:tcMar>
              <w:top w:w="70" w:type="dxa"/>
              <w:start w:w="80" w:type="dxa"/>
              <w:bottom w:w="70" w:type="dxa"/>
              <w:end w:w="80" w:type="dxa"/>
            </w:tcMar>
            <w:vAlign w:val="center"/>
          </w:tcPr>
          <w:p>
            <w:pPr>
              <w:spacing w:after="0" w:line="240" w:lineRule="auto"/>
            </w:pPr>
            <w:r>
              <w:rPr>
                <w:rFonts w:ascii="Arial" w:hAnsi="Arial"/>
                <w:color w:val="141414"/>
                <w:sz w:val="14"/>
              </w:rPr>
              <w:t>[x] Scope documented; [~] permissions</w:t>
            </w:r>
          </w:p>
        </w:tc>
        <w:tc>
          <w:tcPr>
            <w:tcW w:type="dxa" w:w="5904"/>
            <w:tcMar>
              <w:top w:w="70" w:type="dxa"/>
              <w:start w:w="80" w:type="dxa"/>
              <w:bottom w:w="70" w:type="dxa"/>
              <w:end w:w="80" w:type="dxa"/>
            </w:tcMar>
            <w:vAlign w:val="center"/>
          </w:tcPr>
          <w:p>
            <w:pPr>
              <w:spacing w:after="0" w:line="240" w:lineRule="auto"/>
            </w:pPr>
            <w:r>
              <w:rPr>
                <w:rFonts w:ascii="Arial" w:hAnsi="Arial"/>
                <w:color w:val="141414"/>
                <w:sz w:val="14"/>
              </w:rPr>
              <w:t>Operations records completed deliveries/POD; Finance records non-delivery company expenses; HR maintains compensation summaries; detailed edit/export permissions remain TBD.</w:t>
            </w:r>
          </w:p>
        </w:tc>
      </w:tr>
      <w:tr>
        <w:trPr>
          <w:cantSplit/>
        </w:trPr>
        <w:tc>
          <w:tcPr>
            <w:tcW w:type="dxa" w:w="2232"/>
            <w:tcMar>
              <w:top w:w="70" w:type="dxa"/>
              <w:start w:w="80" w:type="dxa"/>
              <w:bottom w:w="70" w:type="dxa"/>
              <w:end w:w="80" w:type="dxa"/>
            </w:tcMar>
            <w:vAlign w:val="center"/>
            <w:shd w:fill="F7F7F7"/>
          </w:tcPr>
          <w:p>
            <w:pPr>
              <w:spacing w:after="0" w:line="240" w:lineRule="auto"/>
            </w:pPr>
            <w:r>
              <w:rPr>
                <w:rFonts w:ascii="Arial" w:hAnsi="Arial"/>
                <w:color w:val="141414"/>
                <w:sz w:val="14"/>
              </w:rPr>
              <w:t>Delivery / truck / company profitability</w:t>
            </w:r>
          </w:p>
        </w:tc>
        <w:tc>
          <w:tcPr>
            <w:tcW w:type="dxa" w:w="1843"/>
            <w:tcMar>
              <w:top w:w="70" w:type="dxa"/>
              <w:start w:w="80" w:type="dxa"/>
              <w:bottom w:w="70" w:type="dxa"/>
              <w:end w:w="80" w:type="dxa"/>
            </w:tcMar>
            <w:vAlign w:val="center"/>
            <w:shd w:fill="F7F7F7"/>
          </w:tcPr>
          <w:p>
            <w:pPr>
              <w:spacing w:after="0" w:line="240" w:lineRule="auto"/>
            </w:pPr>
            <w:r>
              <w:rPr>
                <w:rFonts w:ascii="Arial" w:hAnsi="Arial"/>
                <w:color w:val="141414"/>
                <w:sz w:val="14"/>
              </w:rPr>
              <w:t>[x] Intended scope; [~] formula</w:t>
            </w:r>
          </w:p>
        </w:tc>
        <w:tc>
          <w:tcPr>
            <w:tcW w:type="dxa" w:w="5904"/>
            <w:tcMar>
              <w:top w:w="70" w:type="dxa"/>
              <w:start w:w="80" w:type="dxa"/>
              <w:bottom w:w="70" w:type="dxa"/>
              <w:end w:w="80" w:type="dxa"/>
            </w:tcMar>
            <w:vAlign w:val="center"/>
            <w:shd w:fill="F7F7F7"/>
          </w:tcPr>
          <w:p>
            <w:pPr>
              <w:spacing w:after="0" w:line="240" w:lineRule="auto"/>
            </w:pPr>
            <w:r>
              <w:rPr>
                <w:rFonts w:ascii="Arial" w:hAnsi="Arial"/>
                <w:color w:val="141414"/>
                <w:sz w:val="14"/>
              </w:rPr>
              <w:t>LOA and Project Plan name all three levels. Calculation details and overhead handling remain unapproved.</w:t>
            </w:r>
          </w:p>
        </w:tc>
      </w:tr>
      <w:tr>
        <w:trPr>
          <w:cantSplit/>
        </w:trPr>
        <w:tc>
          <w:tcPr>
            <w:tcW w:type="dxa" w:w="2232"/>
            <w:tcMar>
              <w:top w:w="70" w:type="dxa"/>
              <w:start w:w="80" w:type="dxa"/>
              <w:bottom w:w="70" w:type="dxa"/>
              <w:end w:w="80" w:type="dxa"/>
            </w:tcMar>
            <w:vAlign w:val="center"/>
          </w:tcPr>
          <w:p>
            <w:pPr>
              <w:spacing w:after="0" w:line="240" w:lineRule="auto"/>
            </w:pPr>
            <w:r>
              <w:rPr>
                <w:rFonts w:ascii="Arial" w:hAnsi="Arial"/>
                <w:color w:val="141414"/>
                <w:sz w:val="14"/>
              </w:rPr>
              <w:t>Expense de-duplication</w:t>
            </w:r>
          </w:p>
        </w:tc>
        <w:tc>
          <w:tcPr>
            <w:tcW w:type="dxa" w:w="1843"/>
            <w:tcMar>
              <w:top w:w="70" w:type="dxa"/>
              <w:start w:w="80" w:type="dxa"/>
              <w:bottom w:w="70" w:type="dxa"/>
              <w:end w:w="80" w:type="dxa"/>
            </w:tcMar>
            <w:vAlign w:val="center"/>
          </w:tcPr>
          <w:p>
            <w:pPr>
              <w:spacing w:after="0" w:line="240" w:lineRule="auto"/>
            </w:pPr>
            <w:r>
              <w:rPr>
                <w:rFonts w:ascii="Arial" w:hAnsi="Arial"/>
                <w:color w:val="141414"/>
                <w:sz w:val="14"/>
              </w:rPr>
              <w:t>[x] Principle consistent</w:t>
            </w:r>
          </w:p>
        </w:tc>
        <w:tc>
          <w:tcPr>
            <w:tcW w:type="dxa" w:w="5904"/>
            <w:tcMar>
              <w:top w:w="70" w:type="dxa"/>
              <w:start w:w="80" w:type="dxa"/>
              <w:bottom w:w="70" w:type="dxa"/>
              <w:end w:w="80" w:type="dxa"/>
            </w:tcMar>
            <w:vAlign w:val="center"/>
          </w:tcPr>
          <w:p>
            <w:pPr>
              <w:spacing w:after="0" w:line="240" w:lineRule="auto"/>
            </w:pPr>
            <w:r>
              <w:rPr>
                <w:rFonts w:ascii="Arial" w:hAnsi="Arial"/>
                <w:color w:val="141414"/>
                <w:sz w:val="14"/>
              </w:rPr>
              <w:t>Expenses must be counted once in company results; precise treatment of payroll/allowances/subcontractor costs is still TBD.</w:t>
            </w:r>
          </w:p>
        </w:tc>
      </w:tr>
      <w:tr>
        <w:trPr>
          <w:cantSplit/>
        </w:trPr>
        <w:tc>
          <w:tcPr>
            <w:tcW w:type="dxa" w:w="2232"/>
            <w:tcMar>
              <w:top w:w="70" w:type="dxa"/>
              <w:start w:w="80" w:type="dxa"/>
              <w:bottom w:w="70" w:type="dxa"/>
              <w:end w:w="80" w:type="dxa"/>
            </w:tcMar>
            <w:vAlign w:val="center"/>
            <w:shd w:fill="F7F7F7"/>
          </w:tcPr>
          <w:p>
            <w:pPr>
              <w:spacing w:after="0" w:line="240" w:lineRule="auto"/>
            </w:pPr>
            <w:r>
              <w:rPr>
                <w:rFonts w:ascii="Arial" w:hAnsi="Arial"/>
                <w:color w:val="141414"/>
                <w:sz w:val="14"/>
              </w:rPr>
              <w:t>Additional-hour / additional-drop charges</w:t>
            </w:r>
          </w:p>
        </w:tc>
        <w:tc>
          <w:tcPr>
            <w:tcW w:type="dxa" w:w="1843"/>
            <w:tcMar>
              <w:top w:w="70" w:type="dxa"/>
              <w:start w:w="80" w:type="dxa"/>
              <w:bottom w:w="70" w:type="dxa"/>
              <w:end w:w="80" w:type="dxa"/>
            </w:tcMar>
            <w:vAlign w:val="center"/>
            <w:shd w:fill="F7F7F7"/>
          </w:tcPr>
          <w:p>
            <w:pPr>
              <w:spacing w:after="0" w:line="240" w:lineRule="auto"/>
            </w:pPr>
            <w:r>
              <w:rPr>
                <w:rFonts w:ascii="Arial" w:hAnsi="Arial"/>
                <w:color w:val="141414"/>
                <w:sz w:val="14"/>
              </w:rPr>
              <w:t>[~] Unresolved</w:t>
            </w:r>
          </w:p>
        </w:tc>
        <w:tc>
          <w:tcPr>
            <w:tcW w:type="dxa" w:w="5904"/>
            <w:tcMar>
              <w:top w:w="70" w:type="dxa"/>
              <w:start w:w="80" w:type="dxa"/>
              <w:bottom w:w="70" w:type="dxa"/>
              <w:end w:w="80" w:type="dxa"/>
            </w:tcMar>
            <w:vAlign w:val="center"/>
            <w:shd w:fill="F7F7F7"/>
          </w:tcPr>
          <w:p>
            <w:pPr>
              <w:spacing w:after="0" w:line="240" w:lineRule="auto"/>
            </w:pPr>
            <w:r>
              <w:rPr>
                <w:rFonts w:ascii="Arial" w:hAnsi="Arial"/>
                <w:color w:val="141414"/>
                <w:sz w:val="14"/>
              </w:rPr>
              <w:t>₱500/hour after three hours and a five-drop reference exist, but triggers, rounding, classification, and fee rule are not approved.</w:t>
            </w:r>
          </w:p>
        </w:tc>
      </w:tr>
      <w:tr>
        <w:trPr>
          <w:cantSplit/>
        </w:trPr>
        <w:tc>
          <w:tcPr>
            <w:tcW w:type="dxa" w:w="2232"/>
            <w:tcMar>
              <w:top w:w="70" w:type="dxa"/>
              <w:start w:w="80" w:type="dxa"/>
              <w:bottom w:w="70" w:type="dxa"/>
              <w:end w:w="80" w:type="dxa"/>
            </w:tcMar>
            <w:vAlign w:val="center"/>
          </w:tcPr>
          <w:p>
            <w:pPr>
              <w:spacing w:after="0" w:line="240" w:lineRule="auto"/>
            </w:pPr>
            <w:r>
              <w:rPr>
                <w:rFonts w:ascii="Arial" w:hAnsi="Arial"/>
                <w:color w:val="141414"/>
                <w:sz w:val="14"/>
              </w:rPr>
              <w:t>HR compensation scope</w:t>
            </w:r>
          </w:p>
        </w:tc>
        <w:tc>
          <w:tcPr>
            <w:tcW w:type="dxa" w:w="1843"/>
            <w:tcMar>
              <w:top w:w="70" w:type="dxa"/>
              <w:start w:w="80" w:type="dxa"/>
              <w:bottom w:w="70" w:type="dxa"/>
              <w:end w:w="80" w:type="dxa"/>
            </w:tcMar>
            <w:vAlign w:val="center"/>
          </w:tcPr>
          <w:p>
            <w:pPr>
              <w:spacing w:after="0" w:line="240" w:lineRule="auto"/>
            </w:pPr>
            <w:r>
              <w:rPr>
                <w:rFonts w:ascii="Arial" w:hAnsi="Arial"/>
                <w:color w:val="141414"/>
                <w:sz w:val="14"/>
              </w:rPr>
              <w:t>[~] Scope documented; implementation unverified</w:t>
            </w:r>
          </w:p>
        </w:tc>
        <w:tc>
          <w:tcPr>
            <w:tcW w:type="dxa" w:w="5904"/>
            <w:tcMar>
              <w:top w:w="70" w:type="dxa"/>
              <w:start w:w="80" w:type="dxa"/>
              <w:bottom w:w="70" w:type="dxa"/>
              <w:end w:w="80" w:type="dxa"/>
            </w:tcMar>
            <w:vAlign w:val="center"/>
          </w:tcPr>
          <w:p>
            <w:pPr>
              <w:spacing w:after="0" w:line="240" w:lineRule="auto"/>
            </w:pPr>
            <w:r>
              <w:rPr>
                <w:rFonts w:ascii="Arial" w:hAnsi="Arial"/>
                <w:color w:val="141414"/>
                <w:sz w:val="14"/>
              </w:rPr>
              <w:t>October docs include summaries; the HTML prototype’s primary navigation does not show an HR module. Do not treat as implemented until current code is checked.</w:t>
            </w:r>
          </w:p>
        </w:tc>
      </w:tr>
      <w:tr>
        <w:trPr>
          <w:cantSplit/>
        </w:trPr>
        <w:tc>
          <w:tcPr>
            <w:tcW w:type="dxa" w:w="2232"/>
            <w:tcMar>
              <w:top w:w="70" w:type="dxa"/>
              <w:start w:w="80" w:type="dxa"/>
              <w:bottom w:w="70" w:type="dxa"/>
              <w:end w:w="80" w:type="dxa"/>
            </w:tcMar>
            <w:vAlign w:val="center"/>
            <w:shd w:fill="F7F7F7"/>
          </w:tcPr>
          <w:p>
            <w:pPr>
              <w:spacing w:after="0" w:line="240" w:lineRule="auto"/>
            </w:pPr>
            <w:r>
              <w:rPr>
                <w:rFonts w:ascii="Arial" w:hAnsi="Arial"/>
                <w:color w:val="141414"/>
                <w:sz w:val="14"/>
              </w:rPr>
              <w:t>Prototype navigation</w:t>
            </w:r>
          </w:p>
        </w:tc>
        <w:tc>
          <w:tcPr>
            <w:tcW w:type="dxa" w:w="1843"/>
            <w:tcMar>
              <w:top w:w="70" w:type="dxa"/>
              <w:start w:w="80" w:type="dxa"/>
              <w:bottom w:w="70" w:type="dxa"/>
              <w:end w:w="80" w:type="dxa"/>
            </w:tcMar>
            <w:vAlign w:val="center"/>
            <w:shd w:fill="F7F7F7"/>
          </w:tcPr>
          <w:p>
            <w:pPr>
              <w:spacing w:after="0" w:line="240" w:lineRule="auto"/>
            </w:pPr>
            <w:r>
              <w:rPr>
                <w:rFonts w:ascii="Arial" w:hAnsi="Arial"/>
                <w:color w:val="141414"/>
                <w:sz w:val="14"/>
              </w:rPr>
              <w:t>[~] Design snapshot only</w:t>
            </w:r>
          </w:p>
        </w:tc>
        <w:tc>
          <w:tcPr>
            <w:tcW w:type="dxa" w:w="5904"/>
            <w:tcMar>
              <w:top w:w="70" w:type="dxa"/>
              <w:start w:w="80" w:type="dxa"/>
              <w:bottom w:w="70" w:type="dxa"/>
              <w:end w:w="80" w:type="dxa"/>
            </w:tcMar>
            <w:vAlign w:val="center"/>
            <w:shd w:fill="F7F7F7"/>
          </w:tcPr>
          <w:p>
            <w:pPr>
              <w:spacing w:after="0" w:line="240" w:lineRule="auto"/>
            </w:pPr>
            <w:r>
              <w:rPr>
                <w:rFonts w:ascii="Arial" w:hAnsi="Arial"/>
                <w:color w:val="141414"/>
                <w:sz w:val="14"/>
              </w:rPr>
              <w:t>Prototype shows Dashboard, Deliveries, Fleet, Transactions, Reports and Administration, with Settings and global search/date filters. Its sample logic is not an approved financial model.</w:t>
            </w:r>
          </w:p>
        </w:tc>
      </w:tr>
      <w:tr>
        <w:trPr>
          <w:cantSplit/>
        </w:trPr>
        <w:tc>
          <w:tcPr>
            <w:tcW w:type="dxa" w:w="2232"/>
            <w:tcMar>
              <w:top w:w="70" w:type="dxa"/>
              <w:start w:w="80" w:type="dxa"/>
              <w:bottom w:w="70" w:type="dxa"/>
              <w:end w:w="80" w:type="dxa"/>
            </w:tcMar>
            <w:vAlign w:val="center"/>
          </w:tcPr>
          <w:p>
            <w:pPr>
              <w:spacing w:after="0" w:line="240" w:lineRule="auto"/>
            </w:pPr>
            <w:r>
              <w:rPr>
                <w:rFonts w:ascii="Arial" w:hAnsi="Arial"/>
                <w:color w:val="141414"/>
                <w:sz w:val="14"/>
              </w:rPr>
              <w:t>Technical stack</w:t>
            </w:r>
          </w:p>
        </w:tc>
        <w:tc>
          <w:tcPr>
            <w:tcW w:type="dxa" w:w="1843"/>
            <w:tcMar>
              <w:top w:w="70" w:type="dxa"/>
              <w:start w:w="80" w:type="dxa"/>
              <w:bottom w:w="70" w:type="dxa"/>
              <w:end w:w="80" w:type="dxa"/>
            </w:tcMar>
            <w:vAlign w:val="center"/>
          </w:tcPr>
          <w:p>
            <w:pPr>
              <w:spacing w:after="0" w:line="240" w:lineRule="auto"/>
            </w:pPr>
            <w:r>
              <w:rPr>
                <w:rFonts w:ascii="Arial" w:hAnsi="Arial"/>
                <w:color w:val="141414"/>
                <w:sz w:val="14"/>
              </w:rPr>
              <w:t>[x] Documents broadly agree; integration unverified</w:t>
            </w:r>
          </w:p>
        </w:tc>
        <w:tc>
          <w:tcPr>
            <w:tcW w:type="dxa" w:w="5904"/>
            <w:tcMar>
              <w:top w:w="70" w:type="dxa"/>
              <w:start w:w="80" w:type="dxa"/>
              <w:bottom w:w="70" w:type="dxa"/>
              <w:end w:w="80" w:type="dxa"/>
            </w:tcMar>
            <w:vAlign w:val="center"/>
          </w:tcPr>
          <w:p>
            <w:pPr>
              <w:spacing w:after="0" w:line="240" w:lineRule="auto"/>
            </w:pPr>
            <w:r>
              <w:rPr>
                <w:rFonts w:ascii="Arial" w:hAnsi="Arial"/>
                <w:color w:val="141414"/>
                <w:sz w:val="14"/>
              </w:rPr>
              <w:t>Next.js 15, TypeScript/React, Tailwind/shadcn/ui/Lucide, Server Actions/Route Handlers, Supabase PostgreSQL/Storage, Auth.js, Vercel, npm. Auth/data access design still requires a spike/review.</w:t>
            </w:r>
          </w:p>
        </w:tc>
      </w:tr>
      <w:tr>
        <w:trPr>
          <w:cantSplit/>
        </w:trPr>
        <w:tc>
          <w:tcPr>
            <w:tcW w:type="dxa" w:w="2232"/>
            <w:tcMar>
              <w:top w:w="70" w:type="dxa"/>
              <w:start w:w="80" w:type="dxa"/>
              <w:bottom w:w="70" w:type="dxa"/>
              <w:end w:w="80" w:type="dxa"/>
            </w:tcMar>
            <w:vAlign w:val="center"/>
            <w:shd w:fill="F7F7F7"/>
          </w:tcPr>
          <w:p>
            <w:pPr>
              <w:spacing w:after="0" w:line="240" w:lineRule="auto"/>
            </w:pPr>
            <w:r>
              <w:rPr>
                <w:rFonts w:ascii="Arial" w:hAnsi="Arial"/>
                <w:color w:val="141414"/>
                <w:sz w:val="14"/>
              </w:rPr>
              <w:t>Company-level drill-down</w:t>
            </w:r>
          </w:p>
        </w:tc>
        <w:tc>
          <w:tcPr>
            <w:tcW w:type="dxa" w:w="1843"/>
            <w:tcMar>
              <w:top w:w="70" w:type="dxa"/>
              <w:start w:w="80" w:type="dxa"/>
              <w:bottom w:w="70" w:type="dxa"/>
              <w:end w:w="80" w:type="dxa"/>
            </w:tcMar>
            <w:vAlign w:val="center"/>
            <w:shd w:fill="F7F7F7"/>
          </w:tcPr>
          <w:p>
            <w:pPr>
              <w:spacing w:after="0" w:line="240" w:lineRule="auto"/>
            </w:pPr>
            <w:r>
              <w:rPr>
                <w:rFonts w:ascii="Arial" w:hAnsi="Arial"/>
                <w:color w:val="141414"/>
                <w:sz w:val="14"/>
              </w:rPr>
              <w:t>[x] Proposed differentiator; [~] current build</w:t>
            </w:r>
          </w:p>
        </w:tc>
        <w:tc>
          <w:tcPr>
            <w:tcW w:type="dxa" w:w="5904"/>
            <w:tcMar>
              <w:top w:w="70" w:type="dxa"/>
              <w:start w:w="80" w:type="dxa"/>
              <w:bottom w:w="70" w:type="dxa"/>
              <w:end w:w="80" w:type="dxa"/>
            </w:tcMar>
            <w:vAlign w:val="center"/>
            <w:shd w:fill="F7F7F7"/>
          </w:tcPr>
          <w:p>
            <w:pPr>
              <w:spacing w:after="0" w:line="240" w:lineRule="auto"/>
            </w:pPr>
            <w:r>
              <w:rPr>
                <w:rFonts w:ascii="Arial" w:hAnsi="Arial"/>
                <w:color w:val="141414"/>
                <w:sz w:val="14"/>
              </w:rPr>
              <w:t>Project Plan describes company → truck → delivery → source expense traceability. Prototype artifact alone does not prove this end-to-end behavior is built.</w:t>
            </w:r>
          </w:p>
        </w:tc>
      </w:tr>
      <w:tr>
        <w:trPr>
          <w:cantSplit/>
        </w:trPr>
        <w:tc>
          <w:tcPr>
            <w:tcW w:type="dxa" w:w="2232"/>
            <w:tcMar>
              <w:top w:w="70" w:type="dxa"/>
              <w:start w:w="80" w:type="dxa"/>
              <w:bottom w:w="70" w:type="dxa"/>
              <w:end w:w="80" w:type="dxa"/>
            </w:tcMar>
            <w:vAlign w:val="center"/>
          </w:tcPr>
          <w:p>
            <w:pPr>
              <w:spacing w:after="0" w:line="240" w:lineRule="auto"/>
            </w:pPr>
            <w:r>
              <w:rPr>
                <w:rFonts w:ascii="Arial" w:hAnsi="Arial"/>
                <w:color w:val="141414"/>
                <w:sz w:val="14"/>
              </w:rPr>
              <w:t>Performance targets</w:t>
            </w:r>
          </w:p>
        </w:tc>
        <w:tc>
          <w:tcPr>
            <w:tcW w:type="dxa" w:w="1843"/>
            <w:tcMar>
              <w:top w:w="70" w:type="dxa"/>
              <w:start w:w="80" w:type="dxa"/>
              <w:bottom w:w="70" w:type="dxa"/>
              <w:end w:w="80" w:type="dxa"/>
            </w:tcMar>
            <w:vAlign w:val="center"/>
          </w:tcPr>
          <w:p>
            <w:pPr>
              <w:spacing w:after="0" w:line="240" w:lineRule="auto"/>
            </w:pPr>
            <w:r>
              <w:rPr>
                <w:rFonts w:ascii="Arial" w:hAnsi="Arial"/>
                <w:color w:val="141414"/>
                <w:sz w:val="14"/>
              </w:rPr>
              <w:t>[~] Not specified numerically</w:t>
            </w:r>
          </w:p>
        </w:tc>
        <w:tc>
          <w:tcPr>
            <w:tcW w:type="dxa" w:w="5904"/>
            <w:tcMar>
              <w:top w:w="70" w:type="dxa"/>
              <w:start w:w="80" w:type="dxa"/>
              <w:bottom w:w="70" w:type="dxa"/>
              <w:end w:w="80" w:type="dxa"/>
            </w:tcMar>
            <w:vAlign w:val="center"/>
          </w:tcPr>
          <w:p>
            <w:pPr>
              <w:spacing w:after="0" w:line="240" w:lineRule="auto"/>
            </w:pPr>
            <w:r>
              <w:rPr>
                <w:rFonts w:ascii="Arial" w:hAnsi="Arial"/>
                <w:color w:val="141414"/>
                <w:sz w:val="14"/>
              </w:rPr>
              <w:t>v1.1 says targets to be agreed. No arbitrary 3-second/10-second requirement has been imposed.</w:t>
            </w:r>
          </w:p>
        </w:tc>
      </w:tr>
      <w:tr>
        <w:trPr>
          <w:cantSplit/>
        </w:trPr>
        <w:tc>
          <w:tcPr>
            <w:tcW w:type="dxa" w:w="2232"/>
            <w:tcMar>
              <w:top w:w="70" w:type="dxa"/>
              <w:start w:w="80" w:type="dxa"/>
              <w:bottom w:w="70" w:type="dxa"/>
              <w:end w:w="80" w:type="dxa"/>
            </w:tcMar>
            <w:vAlign w:val="center"/>
            <w:shd w:fill="F7F7F7"/>
          </w:tcPr>
          <w:p>
            <w:pPr>
              <w:spacing w:after="0" w:line="240" w:lineRule="auto"/>
            </w:pPr>
            <w:r>
              <w:rPr>
                <w:rFonts w:ascii="Arial" w:hAnsi="Arial"/>
                <w:color w:val="141414"/>
                <w:sz w:val="14"/>
              </w:rPr>
              <w:t>Diagram readiness</w:t>
            </w:r>
          </w:p>
        </w:tc>
        <w:tc>
          <w:tcPr>
            <w:tcW w:type="dxa" w:w="1843"/>
            <w:tcMar>
              <w:top w:w="70" w:type="dxa"/>
              <w:start w:w="80" w:type="dxa"/>
              <w:bottom w:w="70" w:type="dxa"/>
              <w:end w:w="80" w:type="dxa"/>
            </w:tcMar>
            <w:vAlign w:val="center"/>
            <w:shd w:fill="F7F7F7"/>
          </w:tcPr>
          <w:p>
            <w:pPr>
              <w:spacing w:after="0" w:line="240" w:lineRule="auto"/>
            </w:pPr>
            <w:r>
              <w:rPr>
                <w:rFonts w:ascii="Arial" w:hAnsi="Arial"/>
                <w:color w:val="141414"/>
                <w:sz w:val="14"/>
              </w:rPr>
              <w:t>[~] Provisional models supplied</w:t>
            </w:r>
          </w:p>
        </w:tc>
        <w:tc>
          <w:tcPr>
            <w:tcW w:type="dxa" w:w="5904"/>
            <w:tcMar>
              <w:top w:w="70" w:type="dxa"/>
              <w:start w:w="80" w:type="dxa"/>
              <w:bottom w:w="70" w:type="dxa"/>
              <w:end w:w="80" w:type="dxa"/>
            </w:tcMar>
            <w:vAlign w:val="center"/>
            <w:shd w:fill="F7F7F7"/>
          </w:tcPr>
          <w:p>
            <w:pPr>
              <w:spacing w:after="0" w:line="240" w:lineRule="auto"/>
            </w:pPr>
            <w:r>
              <w:rPr>
                <w:rFonts w:ascii="Arial" w:hAnsi="Arial"/>
                <w:color w:val="141414"/>
                <w:sz w:val="14"/>
              </w:rPr>
              <w:t>Use case, ERD, and activity diagrams are included; ERD is conceptual and requires validation against final schema.</w:t>
            </w:r>
          </w:p>
        </w:tc>
      </w:tr>
      <w:tr>
        <w:trPr>
          <w:cantSplit/>
        </w:trPr>
        <w:tc>
          <w:tcPr>
            <w:tcW w:type="dxa" w:w="2232"/>
            <w:tcMar>
              <w:top w:w="70" w:type="dxa"/>
              <w:start w:w="80" w:type="dxa"/>
              <w:bottom w:w="70" w:type="dxa"/>
              <w:end w:w="80" w:type="dxa"/>
            </w:tcMar>
            <w:vAlign w:val="center"/>
          </w:tcPr>
          <w:p>
            <w:pPr>
              <w:spacing w:after="0" w:line="240" w:lineRule="auto"/>
            </w:pPr>
            <w:r>
              <w:rPr>
                <w:rFonts w:ascii="Arial" w:hAnsi="Arial"/>
                <w:color w:val="141414"/>
                <w:sz w:val="14"/>
              </w:rPr>
              <w:t>Project implementation status</w:t>
            </w:r>
          </w:p>
        </w:tc>
        <w:tc>
          <w:tcPr>
            <w:tcW w:type="dxa" w:w="1843"/>
            <w:tcMar>
              <w:top w:w="70" w:type="dxa"/>
              <w:start w:w="80" w:type="dxa"/>
              <w:bottom w:w="70" w:type="dxa"/>
              <w:end w:w="80" w:type="dxa"/>
            </w:tcMar>
            <w:vAlign w:val="center"/>
          </w:tcPr>
          <w:p>
            <w:pPr>
              <w:spacing w:after="0" w:line="240" w:lineRule="auto"/>
            </w:pPr>
            <w:r>
              <w:rPr>
                <w:rFonts w:ascii="Arial" w:hAnsi="Arial"/>
                <w:color w:val="141414"/>
                <w:sz w:val="14"/>
              </w:rPr>
              <w:t>[ ] Not established from reviewed files</w:t>
            </w:r>
          </w:p>
        </w:tc>
        <w:tc>
          <w:tcPr>
            <w:tcW w:type="dxa" w:w="5904"/>
            <w:tcMar>
              <w:top w:w="70" w:type="dxa"/>
              <w:start w:w="80" w:type="dxa"/>
              <w:bottom w:w="70" w:type="dxa"/>
              <w:end w:w="80" w:type="dxa"/>
            </w:tcMar>
            <w:vAlign w:val="center"/>
          </w:tcPr>
          <w:p>
            <w:pPr>
              <w:spacing w:after="0" w:line="240" w:lineRule="auto"/>
            </w:pPr>
            <w:r>
              <w:rPr>
                <w:rFonts w:ascii="Arial" w:hAnsi="Arial"/>
                <w:color w:val="141414"/>
                <w:sz w:val="14"/>
              </w:rPr>
              <w:t>Project Plan says active development is planned to begin October 19, 2026; no source reviewed proves which features are completed/tested.</w:t>
            </w:r>
          </w:p>
        </w:tc>
      </w:tr>
      <w:tr>
        <w:trPr>
          <w:cantSplit/>
        </w:trPr>
        <w:tc>
          <w:tcPr>
            <w:tcW w:type="dxa" w:w="2232"/>
            <w:tcMar>
              <w:top w:w="70" w:type="dxa"/>
              <w:start w:w="80" w:type="dxa"/>
              <w:bottom w:w="70" w:type="dxa"/>
              <w:end w:w="80" w:type="dxa"/>
            </w:tcMar>
            <w:vAlign w:val="center"/>
            <w:shd w:fill="F7F7F7"/>
          </w:tcPr>
          <w:p>
            <w:pPr>
              <w:spacing w:after="0" w:line="240" w:lineRule="auto"/>
            </w:pPr>
            <w:r>
              <w:rPr>
                <w:rFonts w:ascii="Arial" w:hAnsi="Arial"/>
                <w:color w:val="141414"/>
                <w:sz w:val="14"/>
              </w:rPr>
              <w:t>LOA consistency</w:t>
            </w:r>
          </w:p>
        </w:tc>
        <w:tc>
          <w:tcPr>
            <w:tcW w:type="dxa" w:w="1843"/>
            <w:tcMar>
              <w:top w:w="70" w:type="dxa"/>
              <w:start w:w="80" w:type="dxa"/>
              <w:bottom w:w="70" w:type="dxa"/>
              <w:end w:w="80" w:type="dxa"/>
            </w:tcMar>
            <w:vAlign w:val="center"/>
            <w:shd w:fill="F7F7F7"/>
          </w:tcPr>
          <w:p>
            <w:pPr>
              <w:spacing w:after="0" w:line="240" w:lineRule="auto"/>
            </w:pPr>
            <w:r>
              <w:rPr>
                <w:rFonts w:ascii="Arial" w:hAnsi="Arial"/>
                <w:color w:val="141414"/>
                <w:sz w:val="14"/>
              </w:rPr>
              <w:t>[ ] Requires separate correction</w:t>
            </w:r>
          </w:p>
        </w:tc>
        <w:tc>
          <w:tcPr>
            <w:tcW w:type="dxa" w:w="5904"/>
            <w:tcMar>
              <w:top w:w="70" w:type="dxa"/>
              <w:start w:w="80" w:type="dxa"/>
              <w:bottom w:w="70" w:type="dxa"/>
              <w:end w:w="80" w:type="dxa"/>
            </w:tcMar>
            <w:vAlign w:val="center"/>
            <w:shd w:fill="F7F7F7"/>
          </w:tcPr>
          <w:p>
            <w:pPr>
              <w:spacing w:after="0" w:line="240" w:lineRule="auto"/>
            </w:pPr>
            <w:r>
              <w:rPr>
                <w:rFonts w:ascii="Arial" w:hAnsi="Arial"/>
                <w:color w:val="141414"/>
                <w:sz w:val="14"/>
              </w:rPr>
              <w:t>Available LOA-aligned file still contains conflict between six-month support language and unresolved two-to-three-week wording, plus date/signature notes. User previously clarified a one-month support intent, but available document does not consistently reflect it.</w:t>
            </w:r>
          </w:p>
        </w:tc>
      </w:tr>
      <w:tr>
        <w:trPr>
          <w:cantSplit/>
        </w:trPr>
        <w:tc>
          <w:tcPr>
            <w:tcW w:type="dxa" w:w="2232"/>
            <w:tcMar>
              <w:top w:w="70" w:type="dxa"/>
              <w:start w:w="80" w:type="dxa"/>
              <w:bottom w:w="70" w:type="dxa"/>
              <w:end w:w="80" w:type="dxa"/>
            </w:tcMar>
            <w:vAlign w:val="center"/>
          </w:tcPr>
          <w:p>
            <w:pPr>
              <w:spacing w:after="0" w:line="240" w:lineRule="auto"/>
            </w:pPr>
            <w:r>
              <w:rPr>
                <w:rFonts w:ascii="Arial" w:hAnsi="Arial"/>
                <w:color w:val="141414"/>
                <w:sz w:val="14"/>
              </w:rPr>
              <w:t>Team implementation ownership</w:t>
            </w:r>
          </w:p>
        </w:tc>
        <w:tc>
          <w:tcPr>
            <w:tcW w:type="dxa" w:w="1843"/>
            <w:tcMar>
              <w:top w:w="70" w:type="dxa"/>
              <w:start w:w="80" w:type="dxa"/>
              <w:bottom w:w="70" w:type="dxa"/>
              <w:end w:w="80" w:type="dxa"/>
            </w:tcMar>
            <w:vAlign w:val="center"/>
          </w:tcPr>
          <w:p>
            <w:pPr>
              <w:spacing w:after="0" w:line="240" w:lineRule="auto"/>
            </w:pPr>
            <w:r>
              <w:rPr>
                <w:rFonts w:ascii="Arial" w:hAnsi="Arial"/>
                <w:color w:val="141414"/>
                <w:sz w:val="14"/>
              </w:rPr>
              <w:t>[~] Needs confirmation</w:t>
            </w:r>
          </w:p>
        </w:tc>
        <w:tc>
          <w:tcPr>
            <w:tcW w:type="dxa" w:w="5904"/>
            <w:tcMar>
              <w:top w:w="70" w:type="dxa"/>
              <w:start w:w="80" w:type="dxa"/>
              <w:bottom w:w="70" w:type="dxa"/>
              <w:end w:w="80" w:type="dxa"/>
            </w:tcMar>
            <w:vAlign w:val="center"/>
          </w:tcPr>
          <w:p>
            <w:pPr>
              <w:spacing w:after="0" w:line="240" w:lineRule="auto"/>
            </w:pPr>
            <w:r>
              <w:rPr>
                <w:rFonts w:ascii="Arial" w:hAnsi="Arial"/>
                <w:color w:val="141414"/>
                <w:sz w:val="14"/>
              </w:rPr>
              <w:t>Project Plan/ SWOT list PM, Analyst, and QA; the dedicated developer assignment and actual implementation responsibility are not explicitly established.</w:t>
            </w:r>
          </w:p>
        </w:tc>
      </w:tr>
      <w:tr>
        <w:trPr>
          <w:cantSplit/>
        </w:trPr>
        <w:tc>
          <w:tcPr>
            <w:tcW w:type="dxa" w:w="2232"/>
            <w:tcMar>
              <w:top w:w="70" w:type="dxa"/>
              <w:start w:w="80" w:type="dxa"/>
              <w:bottom w:w="70" w:type="dxa"/>
              <w:end w:w="80" w:type="dxa"/>
            </w:tcMar>
            <w:vAlign w:val="center"/>
            <w:shd w:fill="F7F7F7"/>
          </w:tcPr>
          <w:p>
            <w:pPr>
              <w:spacing w:after="0" w:line="240" w:lineRule="auto"/>
            </w:pPr>
            <w:r>
              <w:rPr>
                <w:rFonts w:ascii="Arial" w:hAnsi="Arial"/>
                <w:color w:val="141414"/>
                <w:sz w:val="14"/>
              </w:rPr>
              <w:t>Client approval</w:t>
            </w:r>
          </w:p>
        </w:tc>
        <w:tc>
          <w:tcPr>
            <w:tcW w:type="dxa" w:w="1843"/>
            <w:tcMar>
              <w:top w:w="70" w:type="dxa"/>
              <w:start w:w="80" w:type="dxa"/>
              <w:bottom w:w="70" w:type="dxa"/>
              <w:end w:w="80" w:type="dxa"/>
            </w:tcMar>
            <w:vAlign w:val="center"/>
            <w:shd w:fill="F7F7F7"/>
          </w:tcPr>
          <w:p>
            <w:pPr>
              <w:spacing w:after="0" w:line="240" w:lineRule="auto"/>
            </w:pPr>
            <w:r>
              <w:rPr>
                <w:rFonts w:ascii="Arial" w:hAnsi="Arial"/>
                <w:color w:val="141414"/>
                <w:sz w:val="14"/>
              </w:rPr>
              <w:t>[ ] Pending</w:t>
            </w:r>
          </w:p>
        </w:tc>
        <w:tc>
          <w:tcPr>
            <w:tcW w:type="dxa" w:w="5904"/>
            <w:tcMar>
              <w:top w:w="70" w:type="dxa"/>
              <w:start w:w="80" w:type="dxa"/>
              <w:bottom w:w="70" w:type="dxa"/>
              <w:end w:w="80" w:type="dxa"/>
            </w:tcMar>
            <w:vAlign w:val="center"/>
            <w:shd w:fill="F7F7F7"/>
          </w:tcPr>
          <w:p>
            <w:pPr>
              <w:spacing w:after="0" w:line="240" w:lineRule="auto"/>
            </w:pPr>
            <w:r>
              <w:rPr>
                <w:rFonts w:ascii="Arial" w:hAnsi="Arial"/>
                <w:color w:val="141414"/>
                <w:sz w:val="14"/>
              </w:rPr>
              <w:t>This is a cross-checked working SRS, not client-approved final requirements.</w:t>
            </w:r>
          </w:p>
        </w:tc>
      </w:tr>
    </w:tbl>
    <w:p>
      <w:pPr>
        <w:spacing w:after="20"/>
      </w:pPr>
    </w:p>
    <w:p>
      <w:r>
        <w:rPr>
          <w:i w:val="0"/>
        </w:rPr>
        <w:t>Cross-check conclusion: The intended RouteX scope can be updated with confidence at the requirements level for completed-delivery entry, separate company expenses and HR compensation summaries, search/date filters, POD, reporting, access controls, and distinct profitability views. However, the actual implementation status, final financial calculation model, detailed permissions, hosting/backup operations, and several UI acceptance details cannot be confirmed from the available documents alone. These points remain explicitly open rather than being guessed.</w:t>
      </w:r>
    </w:p>
    <w:sectPr w:rsidR="00FC693F" w:rsidRPr="0006063C" w:rsidSect="00034616">
      <w:headerReference w:type="default" r:id="rId9"/>
      <w:footerReference w:type="default" r:id="rId10"/>
      <w:pgSz w:w="12240" w:h="15840"/>
      <w:pgMar w:top="979" w:right="1123" w:bottom="950"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RouteX SRS v1.3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RouteX - Software Requirements Specification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9191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RouteX Software Requirements Specification - Priority Revision</dc:title>
  <dc:subject>Cross-checked requirements specification using RouteX_SRS.pdf section structure</dc:subject>
  <dc:creator>RouteX Project Team</dc:creator>
  <cp:keywords>RouteX, SRS, requirements, profitability, delivery operations</cp:keywords>
  <dc:description>Only functional requirement priority key and priority labels revised from v1.2; other requirement content preserved.</dc:description>
  <cp:lastModifiedBy/>
  <cp:revision>1</cp:revision>
  <dcterms:created xsi:type="dcterms:W3CDTF">2013-12-23T23:15:00Z</dcterms:created>
  <dcterms:modified xsi:type="dcterms:W3CDTF">2013-12-23T23:15:00Z</dcterms:modified>
  <cp:category/>
</cp:coreProperties>
</file>