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66D4" w14:textId="77777777" w:rsidR="00081C32" w:rsidRPr="00425D9F" w:rsidRDefault="00000000">
      <w:pPr>
        <w:pStyle w:val="Title"/>
        <w:rPr>
          <w:color w:val="auto"/>
        </w:rPr>
      </w:pPr>
      <w:r w:rsidRPr="00425D9F">
        <w:rPr>
          <w:color w:val="auto"/>
        </w:rPr>
        <w:t>Driver-Based FP&amp;A Forecasting Model – Infosys Ltd.</w:t>
      </w:r>
    </w:p>
    <w:p w14:paraId="7F9F9925" w14:textId="77777777" w:rsidR="00081C32" w:rsidRPr="00425D9F" w:rsidRDefault="00000000">
      <w:pPr>
        <w:pStyle w:val="Heading1"/>
        <w:rPr>
          <w:color w:val="auto"/>
        </w:rPr>
      </w:pPr>
      <w:r w:rsidRPr="00425D9F">
        <w:rPr>
          <w:color w:val="auto"/>
        </w:rPr>
        <w:t>Project Objective</w:t>
      </w:r>
    </w:p>
    <w:p w14:paraId="28C3213F" w14:textId="77777777" w:rsidR="00081C32" w:rsidRPr="00425D9F" w:rsidRDefault="00000000">
      <w:r w:rsidRPr="00425D9F">
        <w:t>Develop an integrated FP&amp;A forecasting model for Infosys using historical financial performance, workforce planning, cost-driver analysis, scenario forecasting, working capital planning, and cash flow forecasting.</w:t>
      </w:r>
    </w:p>
    <w:p w14:paraId="60DF2AA7" w14:textId="77777777" w:rsidR="00081C32" w:rsidRPr="00425D9F" w:rsidRDefault="00000000">
      <w:pPr>
        <w:pStyle w:val="Heading1"/>
        <w:rPr>
          <w:color w:val="auto"/>
        </w:rPr>
      </w:pPr>
      <w:r w:rsidRPr="00425D9F">
        <w:rPr>
          <w:color w:val="auto"/>
        </w:rPr>
        <w:t>Project Scope</w:t>
      </w:r>
    </w:p>
    <w:p w14:paraId="6C742E6B" w14:textId="77777777" w:rsidR="00081C32" w:rsidRPr="00425D9F" w:rsidRDefault="00000000">
      <w:r w:rsidRPr="00425D9F">
        <w:t>The model analyzes FY2021–FY2025 historical performance and forecasts FY2026–FY2028 under multiple business scenarios.</w:t>
      </w:r>
    </w:p>
    <w:p w14:paraId="4025B256" w14:textId="77777777" w:rsidR="00081C32" w:rsidRPr="00425D9F" w:rsidRDefault="00000000">
      <w:pPr>
        <w:pStyle w:val="Heading1"/>
        <w:rPr>
          <w:color w:val="auto"/>
        </w:rPr>
      </w:pPr>
      <w:r w:rsidRPr="00425D9F">
        <w:rPr>
          <w:color w:val="auto"/>
        </w:rPr>
        <w:t>Model Components</w:t>
      </w:r>
    </w:p>
    <w:p w14:paraId="013763A3" w14:textId="77777777" w:rsidR="00081C32" w:rsidRPr="00425D9F" w:rsidRDefault="00000000">
      <w:r w:rsidRPr="00425D9F">
        <w:t>- Historical Financial Analysis</w:t>
      </w:r>
      <w:r w:rsidRPr="00425D9F">
        <w:br/>
        <w:t>- Revenue Driver Forecasting</w:t>
      </w:r>
      <w:r w:rsidRPr="00425D9F">
        <w:br/>
        <w:t>- Workforce Planning Model</w:t>
      </w:r>
      <w:r w:rsidRPr="00425D9F">
        <w:br/>
        <w:t>- Cost Forecasting Model</w:t>
      </w:r>
      <w:r w:rsidRPr="00425D9F">
        <w:br/>
        <w:t>- Scenario Analysis Engine</w:t>
      </w:r>
      <w:r w:rsidRPr="00425D9F">
        <w:br/>
        <w:t>- Integrated Financial Forecast Model</w:t>
      </w:r>
      <w:r w:rsidRPr="00425D9F">
        <w:br/>
        <w:t>- Working Capital Forecast</w:t>
      </w:r>
      <w:r w:rsidRPr="00425D9F">
        <w:br/>
        <w:t>- Cash Flow Forecast</w:t>
      </w:r>
      <w:r w:rsidRPr="00425D9F">
        <w:br/>
        <w:t>- Executive Dashboard</w:t>
      </w:r>
      <w:r w:rsidRPr="00425D9F">
        <w:br/>
        <w:t>- Management Insights</w:t>
      </w:r>
    </w:p>
    <w:p w14:paraId="44F62840" w14:textId="77777777" w:rsidR="00081C32" w:rsidRPr="00425D9F" w:rsidRDefault="00000000">
      <w:pPr>
        <w:pStyle w:val="Heading1"/>
        <w:rPr>
          <w:color w:val="auto"/>
        </w:rPr>
      </w:pPr>
      <w:r w:rsidRPr="00425D9F">
        <w:rPr>
          <w:color w:val="auto"/>
        </w:rPr>
        <w:t>Historical Analysis</w:t>
      </w:r>
    </w:p>
    <w:p w14:paraId="3272F665" w14:textId="77777777" w:rsidR="00081C32" w:rsidRPr="00425D9F" w:rsidRDefault="00000000">
      <w:r w:rsidRPr="00425D9F">
        <w:t>Historical revenue, operating profit, operating cost, and margin trends were analyzed to identify recurring business patterns and establish forecasting assumptions.</w:t>
      </w:r>
    </w:p>
    <w:p w14:paraId="7F634925" w14:textId="77777777" w:rsidR="00081C32" w:rsidRPr="00425D9F" w:rsidRDefault="00000000">
      <w:pPr>
        <w:pStyle w:val="Heading1"/>
        <w:rPr>
          <w:color w:val="auto"/>
        </w:rPr>
      </w:pPr>
      <w:r w:rsidRPr="00425D9F">
        <w:rPr>
          <w:color w:val="auto"/>
        </w:rPr>
        <w:t>Scenario Planning Framework</w:t>
      </w:r>
    </w:p>
    <w:p w14:paraId="1EFA0316" w14:textId="77777777" w:rsidR="00081C32" w:rsidRPr="00425D9F" w:rsidRDefault="00000000">
      <w:r w:rsidRPr="00425D9F">
        <w:t>The model includes Base, Growth, Recession, Wage Inflation, Hiring Expansion, and Margin Protection scenarios. Revenue growth, operating margin, and net margin assumptions dynamically flow through the model.</w:t>
      </w:r>
    </w:p>
    <w:p w14:paraId="7855132B" w14:textId="77777777" w:rsidR="00081C32" w:rsidRPr="00425D9F" w:rsidRDefault="00000000">
      <w:pPr>
        <w:pStyle w:val="Heading1"/>
        <w:rPr>
          <w:color w:val="auto"/>
        </w:rPr>
      </w:pPr>
      <w:r w:rsidRPr="00425D9F">
        <w:rPr>
          <w:color w:val="auto"/>
        </w:rPr>
        <w:lastRenderedPageBreak/>
        <w:t>Workforce Planning Model</w:t>
      </w:r>
    </w:p>
    <w:p w14:paraId="72CD50F4" w14:textId="77777777" w:rsidR="00081C32" w:rsidRPr="00425D9F" w:rsidRDefault="00000000">
      <w:r w:rsidRPr="00425D9F">
        <w:t>The workforce module incorporates employee count history, attrition analysis, hiring assumptions, workforce forecasts, productivity metrics, and workforce risk assessment.</w:t>
      </w:r>
    </w:p>
    <w:p w14:paraId="49A7960E" w14:textId="77777777" w:rsidR="00081C32" w:rsidRPr="00425D9F" w:rsidRDefault="00000000">
      <w:pPr>
        <w:pStyle w:val="Heading1"/>
        <w:rPr>
          <w:color w:val="auto"/>
        </w:rPr>
      </w:pPr>
      <w:r w:rsidRPr="00425D9F">
        <w:rPr>
          <w:color w:val="auto"/>
        </w:rPr>
        <w:t>Cost Forecasting Model</w:t>
      </w:r>
    </w:p>
    <w:p w14:paraId="3D3462D7" w14:textId="77777777" w:rsidR="00081C32" w:rsidRPr="00425D9F" w:rsidRDefault="00000000">
      <w:r w:rsidRPr="00425D9F">
        <w:t>Operating costs are forecast using historical operating cost trends. Employee cost, technology cost, administrative cost, and infrastructure cost drivers are modeled as a percentage of revenue.</w:t>
      </w:r>
    </w:p>
    <w:p w14:paraId="1DC09E16" w14:textId="77777777" w:rsidR="00081C32" w:rsidRPr="00425D9F" w:rsidRDefault="00000000">
      <w:pPr>
        <w:pStyle w:val="Heading1"/>
        <w:rPr>
          <w:color w:val="auto"/>
        </w:rPr>
      </w:pPr>
      <w:r w:rsidRPr="00425D9F">
        <w:rPr>
          <w:color w:val="auto"/>
        </w:rPr>
        <w:t>Working Capital Forecast</w:t>
      </w:r>
    </w:p>
    <w:p w14:paraId="017D6C84" w14:textId="77777777" w:rsidR="00081C32" w:rsidRPr="00425D9F" w:rsidRDefault="00000000">
      <w:r w:rsidRPr="00425D9F">
        <w:t>Trade receivables, trade payables, and net working capital are forecast using DSO and DPO assumptions to evaluate future liquidity requirements.</w:t>
      </w:r>
    </w:p>
    <w:p w14:paraId="43B8B21C" w14:textId="77777777" w:rsidR="00081C32" w:rsidRPr="00425D9F" w:rsidRDefault="00000000">
      <w:pPr>
        <w:pStyle w:val="Heading1"/>
        <w:rPr>
          <w:color w:val="auto"/>
        </w:rPr>
      </w:pPr>
      <w:r w:rsidRPr="00425D9F">
        <w:rPr>
          <w:color w:val="auto"/>
        </w:rPr>
        <w:t>Cash Flow Forecast</w:t>
      </w:r>
    </w:p>
    <w:p w14:paraId="1F95B1D2" w14:textId="77777777" w:rsidR="00081C32" w:rsidRPr="00425D9F" w:rsidRDefault="00000000">
      <w:r w:rsidRPr="00425D9F">
        <w:t>Net profit, working capital movements, capital expenditure, free cash flow, and ending cash balances are forecast to evaluate financial flexibility.</w:t>
      </w:r>
    </w:p>
    <w:p w14:paraId="4CD37578" w14:textId="77777777" w:rsidR="00081C32" w:rsidRPr="00425D9F" w:rsidRDefault="00000000">
      <w:pPr>
        <w:pStyle w:val="Heading1"/>
        <w:rPr>
          <w:color w:val="auto"/>
        </w:rPr>
      </w:pPr>
      <w:r w:rsidRPr="00425D9F">
        <w:rPr>
          <w:color w:val="auto"/>
        </w:rPr>
        <w:t>Executive Insights</w:t>
      </w:r>
    </w:p>
    <w:p w14:paraId="674E4E90" w14:textId="77777777" w:rsidR="00081C32" w:rsidRPr="00425D9F" w:rsidRDefault="00000000">
      <w:r w:rsidRPr="00425D9F">
        <w:t>The model supports management decision-making by linking revenue growth, workforce expansion, profitability, working capital, and cash generation into a unified FP&amp;A planning framework.</w:t>
      </w:r>
    </w:p>
    <w:p w14:paraId="4228DF93" w14:textId="77777777" w:rsidR="00081C32" w:rsidRPr="00425D9F" w:rsidRDefault="00000000">
      <w:pPr>
        <w:pStyle w:val="Heading1"/>
        <w:rPr>
          <w:color w:val="auto"/>
        </w:rPr>
      </w:pPr>
      <w:r w:rsidRPr="00425D9F">
        <w:rPr>
          <w:color w:val="auto"/>
        </w:rPr>
        <w:t>Tools Used</w:t>
      </w:r>
    </w:p>
    <w:p w14:paraId="3515EE82" w14:textId="77777777" w:rsidR="00081C32" w:rsidRPr="00425D9F" w:rsidRDefault="00000000">
      <w:r w:rsidRPr="00425D9F">
        <w:t>Microsoft Excel, Financial Modeling, FP&amp;A Planning, Scenario Analysis, Workforce Planning, Cost Modeling, Working Capital Forecasting, Cash Flow Forecasting.</w:t>
      </w:r>
    </w:p>
    <w:p w14:paraId="31773293" w14:textId="1EB21435" w:rsidR="00081C32" w:rsidRPr="00425D9F" w:rsidRDefault="00081C32"/>
    <w:sectPr w:rsidR="00081C32" w:rsidRPr="00425D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875710">
    <w:abstractNumId w:val="8"/>
  </w:num>
  <w:num w:numId="2" w16cid:durableId="529997375">
    <w:abstractNumId w:val="6"/>
  </w:num>
  <w:num w:numId="3" w16cid:durableId="1894930157">
    <w:abstractNumId w:val="5"/>
  </w:num>
  <w:num w:numId="4" w16cid:durableId="2112041546">
    <w:abstractNumId w:val="4"/>
  </w:num>
  <w:num w:numId="5" w16cid:durableId="1671252754">
    <w:abstractNumId w:val="7"/>
  </w:num>
  <w:num w:numId="6" w16cid:durableId="521746251">
    <w:abstractNumId w:val="3"/>
  </w:num>
  <w:num w:numId="7" w16cid:durableId="345979711">
    <w:abstractNumId w:val="2"/>
  </w:num>
  <w:num w:numId="8" w16cid:durableId="1220552680">
    <w:abstractNumId w:val="1"/>
  </w:num>
  <w:num w:numId="9" w16cid:durableId="73743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C32"/>
    <w:rsid w:val="0015074B"/>
    <w:rsid w:val="0029639D"/>
    <w:rsid w:val="00326F90"/>
    <w:rsid w:val="00425D9F"/>
    <w:rsid w:val="00AA1D8D"/>
    <w:rsid w:val="00AD5EA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98775"/>
  <w14:defaultImageDpi w14:val="300"/>
  <w15:docId w15:val="{5B83C6D7-1689-4A0E-966F-794017F00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Shourya Nautiyal</cp:lastModifiedBy>
  <cp:revision>2</cp:revision>
  <dcterms:created xsi:type="dcterms:W3CDTF">2013-12-23T23:15:00Z</dcterms:created>
  <dcterms:modified xsi:type="dcterms:W3CDTF">2026-06-23T11:27:00Z</dcterms:modified>
  <cp:category/>
</cp:coreProperties>
</file>