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C2D54"/>
          <w:sz w:val="72"/>
        </w:rPr>
        <w:t>PROPOSAL PENAWARAN</w:t>
      </w:r>
    </w:p>
    <w:p>
      <w:pPr>
        <w:jc w:val="center"/>
      </w:pPr>
      <w:r>
        <w:rPr>
          <w:b/>
          <w:color w:val="C9A227"/>
          <w:sz w:val="40"/>
        </w:rPr>
        <w:t>SIPERA — Sistem Perumahan Rakyat</w:t>
      </w:r>
    </w:p>
    <w:p>
      <w:pPr>
        <w:spacing w:after="120"/>
        <w:jc w:val="center"/>
      </w:pPr>
      <w:r>
        <w:rPr>
          <w:b w:val="0"/>
          <w:i/>
          <w:color w:val="5A5A5A"/>
          <w:sz w:val="24"/>
        </w:rPr>
        <w:t>Geospatial Intelligence Platform untuk Pemetaan &amp; Monitoring Perumahan Skala Kabupaten</w:t>
      </w:r>
    </w:p>
    <w:p/>
    <w:p>
      <w:pPr>
        <w:spacing w:after="120"/>
        <w:jc w:val="center"/>
      </w:pPr>
      <w:r>
        <w:rPr>
          <w:b w:val="0"/>
          <w:i w:val="0"/>
          <w:color w:val="5A5A5A"/>
          <w:sz w:val="22"/>
        </w:rPr>
        <w:t>Diajukan kepada:</w:t>
      </w:r>
    </w:p>
    <w:p>
      <w:pPr>
        <w:spacing w:after="120"/>
        <w:jc w:val="center"/>
      </w:pPr>
      <w:r>
        <w:rPr>
          <w:b/>
          <w:i w:val="0"/>
          <w:color w:val="1C2D54"/>
          <w:sz w:val="28"/>
        </w:rPr>
        <w:t>DPUTR Kab. Bandung</w:t>
      </w:r>
    </w:p>
    <w:p/>
    <w:p/>
    <w:tbl>
      <w:tblPr>
        <w:tblW w:type="auto" w:w="0"/>
        <w:tblLayout w:type="fixed"/>
        <w:tblLook w:firstColumn="1" w:firstRow="1" w:lastColumn="0" w:lastRow="0" w:noHBand="0" w:noVBand="1" w:val="04A0"/>
      </w:tblPr>
      <w:tblGrid>
        <w:gridCol w:w="2835"/>
        <w:gridCol w:w="5669"/>
      </w:tblGrid>
      <w:tr>
        <w:tc>
          <w:tcPr>
            <w:tcW w:type="dxa" w:w="4844"/>
            <w:shd w:val="clear" w:color="auto" w:fill="E8ECEF"/>
          </w:tcPr>
          <w:p>
            <w:r>
              <w:t>Nomor Proposal</w:t>
            </w:r>
          </w:p>
        </w:tc>
        <w:tc>
          <w:tcPr>
            <w:tcW w:type="dxa" w:w="4844"/>
          </w:tcPr>
          <w:p>
            <w:r>
              <w:t>PROP-SIPERA-202605-001</w:t>
            </w:r>
          </w:p>
        </w:tc>
      </w:tr>
      <w:tr>
        <w:tc>
          <w:tcPr>
            <w:tcW w:type="dxa" w:w="4844"/>
            <w:shd w:val="clear" w:color="auto" w:fill="E8ECEF"/>
          </w:tcPr>
          <w:p>
            <w:r>
              <w:t>Tanggal</w:t>
            </w:r>
          </w:p>
        </w:tc>
        <w:tc>
          <w:tcPr>
            <w:tcW w:type="dxa" w:w="4844"/>
          </w:tcPr>
          <w:p>
            <w:r>
              <w:t>16 May 2026</w:t>
            </w:r>
          </w:p>
        </w:tc>
      </w:tr>
      <w:tr>
        <w:tc>
          <w:tcPr>
            <w:tcW w:type="dxa" w:w="4844"/>
            <w:shd w:val="clear" w:color="auto" w:fill="E8ECEF"/>
          </w:tcPr>
          <w:p>
            <w:r>
              <w:t>Penyedia</w:t>
            </w:r>
          </w:p>
        </w:tc>
        <w:tc>
          <w:tcPr>
            <w:tcW w:type="dxa" w:w="4844"/>
          </w:tcPr>
          <w:p>
            <w:r>
              <w:t>Nauval Zulfikar, Fauzan Iraldi, Deri</w:t>
            </w:r>
          </w:p>
        </w:tc>
      </w:tr>
    </w:tbl>
    <w:p/>
    <w:p>
      <w:pPr>
        <w:spacing w:after="120"/>
        <w:jc w:val="center"/>
      </w:pPr>
      <w:r>
        <w:rPr>
          <w:b/>
          <w:i w:val="0"/>
          <w:color w:val="C9A227"/>
          <w:sz w:val="26"/>
        </w:rPr>
        <w:t>Model Pembiayaan: One-Time</w:t>
      </w:r>
    </w:p>
    <w:p/>
    <w:p>
      <w:pPr>
        <w:spacing w:after="120"/>
        <w:jc w:val="center"/>
      </w:pPr>
      <w:r>
        <w:rPr>
          <w:b w:val="0"/>
          <w:i/>
          <w:color w:val="1C2D54"/>
          <w:sz w:val="24"/>
        </w:rPr>
        <w:t>"Foundation geospasial production-grade: dari prototype 1-kabupaten</w:t>
      </w:r>
    </w:p>
    <w:p>
      <w:pPr>
        <w:spacing w:after="120"/>
        <w:jc w:val="center"/>
      </w:pPr>
      <w:r>
        <w:rPr>
          <w:b w:val="0"/>
          <w:i/>
          <w:color w:val="1C2D54"/>
          <w:sz w:val="24"/>
        </w:rPr>
        <w:t>jadi platform scalable yang siap deploy ke 27 kabupaten Jawa Barat."</w:t>
      </w:r>
    </w:p>
    <w:p>
      <w:r>
        <w:br w:type="page"/>
      </w:r>
    </w:p>
    <w:p>
      <w:r>
        <w:rPr>
          <w:b/>
          <w:color w:val="1C2D54"/>
          <w:sz w:val="44"/>
        </w:rPr>
        <w:t>RINGKASAN EKSEKUTIF</w:t>
      </w:r>
    </w:p>
    <w:p>
      <w:pPr>
        <w:spacing w:after="120"/>
      </w:pPr>
      <w:r>
        <w:rPr>
          <w:b w:val="0"/>
          <w:i w:val="0"/>
          <w:sz w:val="22"/>
        </w:rPr>
        <w:t>Sistem Monitoring Satelit yang sudah terdeploy di DPUTR Kab. Bandung berhasil memetakan 1,09 juta bangunan. Untuk naik level dari MVP ke platform production multi-kabupaten yang mampu menangani 4 juta+ bangunan dengan response sub-detik, dibutuhkan upgrade fondasi geospasial enterprise-grade. SIPERA adalah paket upgrade tersebut.</w:t>
      </w:r>
    </w:p>
    <w:p/>
    <w:p>
      <w:r>
        <w:rPr>
          <w:b/>
          <w:color w:val="1C2D54"/>
          <w:sz w:val="32"/>
        </w:rPr>
        <w:t>Angka Kunci</w:t>
      </w:r>
    </w:p>
    <w:tbl>
      <w:tblPr>
        <w:tblStyle w:val="LightGrid-Accent1"/>
        <w:tblW w:type="auto" w:w="0"/>
        <w:tblLook w:firstColumn="1" w:firstRow="1" w:lastColumn="0" w:lastRow="0" w:noHBand="0" w:noVBand="1" w:val="04A0"/>
      </w:tblPr>
      <w:tblGrid>
        <w:gridCol w:w="4844"/>
        <w:gridCol w:w="4844"/>
      </w:tblGrid>
      <w:tr>
        <w:tc>
          <w:tcPr>
            <w:tcW w:type="dxa" w:w="4844"/>
            <w:vAlign w:val="center"/>
            <w:shd w:val="clear" w:color="auto" w:fill="E8ECEF"/>
          </w:tcPr>
          <w:p>
            <w:r>
              <w:t>Total bangunan diproses (setelah upgrade)</w:t>
            </w:r>
          </w:p>
        </w:tc>
        <w:tc>
          <w:tcPr>
            <w:tcW w:type="dxa" w:w="4844"/>
            <w:vAlign w:val="center"/>
          </w:tcPr>
          <w:p>
            <w:r>
              <w:t>4,07 juta (3,7× dari MVP)</w:t>
            </w:r>
          </w:p>
        </w:tc>
      </w:tr>
      <w:tr>
        <w:tc>
          <w:tcPr>
            <w:tcW w:type="dxa" w:w="4844"/>
            <w:vAlign w:val="center"/>
            <w:shd w:val="clear" w:color="auto" w:fill="E8ECEF"/>
          </w:tcPr>
          <w:p>
            <w:r>
              <w:t>Response time (cached)</w:t>
            </w:r>
          </w:p>
        </w:tc>
        <w:tc>
          <w:tcPr>
            <w:tcW w:type="dxa" w:w="4844"/>
            <w:vAlign w:val="center"/>
          </w:tcPr>
          <w:p>
            <w:r>
              <w:t>&lt;300 ms (dari 22-30 detik)</w:t>
            </w:r>
          </w:p>
        </w:tc>
      </w:tr>
      <w:tr>
        <w:tc>
          <w:tcPr>
            <w:tcW w:type="dxa" w:w="4844"/>
            <w:vAlign w:val="center"/>
            <w:shd w:val="clear" w:color="auto" w:fill="E8ECEF"/>
          </w:tcPr>
          <w:p>
            <w:r>
              <w:t>Kabupaten siap deploy</w:t>
            </w:r>
          </w:p>
        </w:tc>
        <w:tc>
          <w:tcPr>
            <w:tcW w:type="dxa" w:w="4844"/>
            <w:vAlign w:val="center"/>
          </w:tcPr>
          <w:p>
            <w:r>
              <w:t>Template ready (~1 hari per kab)</w:t>
            </w:r>
          </w:p>
        </w:tc>
      </w:tr>
      <w:tr>
        <w:tc>
          <w:tcPr>
            <w:tcW w:type="dxa" w:w="4844"/>
            <w:vAlign w:val="center"/>
            <w:shd w:val="clear" w:color="auto" w:fill="E8ECEF"/>
          </w:tcPr>
          <w:p>
            <w:r>
              <w:t>Potensi PAD direct (10% realistis)</w:t>
            </w:r>
          </w:p>
        </w:tc>
        <w:tc>
          <w:tcPr>
            <w:tcW w:type="dxa" w:w="4844"/>
            <w:vAlign w:val="center"/>
          </w:tcPr>
          <w:p>
            <w:r>
              <w:t>Rp 383,8 miliar</w:t>
            </w:r>
          </w:p>
        </w:tc>
      </w:tr>
    </w:tbl>
    <w:p/>
    <w:p>
      <w:pPr>
        <w:spacing w:after="120"/>
      </w:pPr>
      <w:r>
        <w:rPr>
          <w:b w:val="0"/>
          <w:i/>
          <w:color w:val="5A5A5A"/>
          <w:sz w:val="22"/>
        </w:rPr>
        <w:t>Dataset di-upgrade dari Microsoft Footprints (1,09M) ke kombinasi Microsoft + Google Open Buildings (4,07M), ditopang stack spatial database industri (PostGIS + Martin Vector Tile + Redis).</w:t>
      </w:r>
    </w:p>
    <w:p>
      <w:pPr>
        <w:spacing w:after="120"/>
      </w:pPr>
      <w:r>
        <w:rPr>
          <w:b/>
          <w:i w:val="0"/>
          <w:color w:val="28A745"/>
          <w:sz w:val="24"/>
        </w:rPr>
        <w:t>Artinya: dengan investasi Rp 110 juta, potensi tambahan PAD direct mencapai Rp 281 miliar — rasio ROI &gt;2.800× pada skenario realistis.</w:t>
      </w:r>
    </w:p>
    <w:p>
      <w:r>
        <w:br w:type="page"/>
      </w:r>
    </w:p>
    <w:p>
      <w:r>
        <w:rPr>
          <w:b/>
          <w:color w:val="1C2D54"/>
          <w:sz w:val="44"/>
        </w:rPr>
        <w:t>1. LATAR BELAKANG</w:t>
      </w:r>
    </w:p>
    <w:p>
      <w:pPr>
        <w:spacing w:after="120"/>
      </w:pPr>
      <w:r>
        <w:rPr>
          <w:b w:val="0"/>
          <w:i w:val="0"/>
          <w:sz w:val="22"/>
        </w:rPr>
        <w:t>Sistem Monitoring Satelit Bangunan (proposal pendahulu, PROP-SATELIT-202604-001) telah berhasil membangun MVP enforcement bangunan tanpa izin di Kab. Bandung dengan 1,09 juta data Microsoft Footprints. Setelah implementasi, teridentifikasi tiga kebutuhan upgrade fondamental:</w:t>
      </w:r>
    </w:p>
    <w:p>
      <w:pPr>
        <w:pStyle w:val="ListBullet"/>
      </w:pPr>
      <w:r>
        <w:t>Cakupan data Microsoft (1,09M) belum cover seluruh bangunan; Google Open Buildings menambah ~3M polygon yang sebelumnya tidak terdeteksi.</w:t>
      </w:r>
    </w:p>
    <w:p>
      <w:pPr>
        <w:pStyle w:val="ListBullet"/>
      </w:pPr>
      <w:r>
        <w:t>Stack MariaDB + Leaflet geojson tidak scalable untuk 4M+ polygon — render bisa makan 22-30 detik (cold).</w:t>
      </w:r>
    </w:p>
    <w:p>
      <w:pPr>
        <w:pStyle w:val="ListBullet"/>
      </w:pPr>
      <w:r>
        <w:t>Sistem belum bisa di-replikasi ke kabupaten lain tanpa rebuild dari nol — tidak ada template multi-tenant.</w:t>
      </w:r>
    </w:p>
    <w:p/>
    <w:p>
      <w:pPr>
        <w:spacing w:after="120"/>
      </w:pPr>
      <w:r>
        <w:rPr>
          <w:b w:val="0"/>
          <w:i w:val="0"/>
          <w:sz w:val="22"/>
        </w:rPr>
        <w:t>SIPERA adalah paket upgrade yang membawa fondasi sistem ke level production enterprise: PostGIS spatial database, Martin Vector Tile Server (industry-standard MVT), Redis caching layer, server-side aggregation, dan filter-gated lazy rendering. Hasilnya: platform geospasial scalable yang siap untuk 27 kabupaten Jawa Barat.</w:t>
      </w:r>
    </w:p>
    <w:p>
      <w:r>
        <w:br w:type="page"/>
      </w:r>
    </w:p>
    <w:p>
      <w:r>
        <w:rPr>
          <w:b/>
          <w:color w:val="1C2D54"/>
          <w:sz w:val="44"/>
        </w:rPr>
        <w:t>2. OUTPUT &amp; OUTCOME</w:t>
      </w:r>
    </w:p>
    <w:p>
      <w:r>
        <w:rPr>
          <w:b/>
          <w:color w:val="1C2D54"/>
          <w:sz w:val="32"/>
        </w:rPr>
        <w:t>Output — Yang DPUTR Terima</w:t>
      </w:r>
    </w:p>
    <w:p>
      <w:pPr>
        <w:pStyle w:val="ListBullet"/>
      </w:pPr>
      <w:r>
        <w:t>Spatial database PostGIS 16 (Docker, tuned) berisi 4,07 juta polygon bangunan ter-indeks GIST.</w:t>
      </w:r>
    </w:p>
    <w:p>
      <w:pPr>
        <w:pStyle w:val="ListBullet"/>
      </w:pPr>
      <w:r>
        <w:t>Martin Vector Tile Server (MVT) untuk rendering peta level Mapbox/ESRI.</w:t>
      </w:r>
    </w:p>
    <w:p>
      <w:pPr>
        <w:pStyle w:val="ListBullet"/>
      </w:pPr>
      <w:r>
        <w:t>Redis caching layer dengan 24h TTL + auto-prewarm cron harian.</w:t>
      </w:r>
    </w:p>
    <w:p>
      <w:pPr>
        <w:pStyle w:val="ListBullet"/>
      </w:pPr>
      <w:r>
        <w:t>Server-side spatial aggregation endpoint (cluster z6-13) — render &lt;300ms untuk 4M+ polygon.</w:t>
      </w:r>
    </w:p>
    <w:p>
      <w:pPr>
        <w:pStyle w:val="ListBullet"/>
      </w:pPr>
      <w:r>
        <w:t>Filter-gated rendering UX (choropleth default → drill-down per kecamatan/desa).</w:t>
      </w:r>
    </w:p>
    <w:p>
      <w:pPr>
        <w:pStyle w:val="ListBullet"/>
      </w:pPr>
      <w:r>
        <w:t>Lazy rendering: pan debounce, centroid-first, viewport clipping.</w:t>
      </w:r>
    </w:p>
    <w:p>
      <w:pPr>
        <w:pStyle w:val="ListBullet"/>
      </w:pPr>
      <w:r>
        <w:t>13 ranked performance optimization (load test report + before/after benchmark).</w:t>
      </w:r>
    </w:p>
    <w:p>
      <w:pPr>
        <w:pStyle w:val="ListBullet"/>
      </w:pPr>
      <w:r>
        <w:t>Template deploy multi-kabupaten (per-kab config, ~1 hari setup).</w:t>
      </w:r>
    </w:p>
    <w:p>
      <w:pPr>
        <w:pStyle w:val="ListBullet"/>
      </w:pPr>
      <w:r>
        <w:t>Source code + dokumentasi spatial stack + runbook deploy/migrasi.</w:t>
      </w:r>
    </w:p>
    <w:p>
      <w:r>
        <w:rPr>
          <w:b/>
          <w:color w:val="1C2D54"/>
          <w:sz w:val="32"/>
        </w:rPr>
        <w:t>Outcome — Manfaat Terukur</w:t>
      </w:r>
    </w:p>
    <w:p>
      <w:pPr>
        <w:pStyle w:val="ListBullet"/>
      </w:pPr>
      <w:r>
        <w:t>Coverage data naik 3,7× (1,09M → 4,07M bangunan) — tidak ada blind spot.</w:t>
      </w:r>
    </w:p>
    <w:p>
      <w:pPr>
        <w:pStyle w:val="ListBullet"/>
      </w:pPr>
      <w:r>
        <w:t>User experience sub-detik untuk peta 4M polygon (sebelumnya 22-30 detik cold).</w:t>
      </w:r>
    </w:p>
    <w:p>
      <w:pPr>
        <w:pStyle w:val="ListBullet"/>
      </w:pPr>
      <w:r>
        <w:t>Foundation siap di-extend untuk fitur lanjutan: housing program, slum mapping, RDTR compliance, BPJS Perumahan, dll.</w:t>
      </w:r>
    </w:p>
    <w:p>
      <w:pPr>
        <w:pStyle w:val="ListBullet"/>
      </w:pPr>
      <w:r>
        <w:t>Per-kabupaten deployment cost turun drastis — 1 hari setup vs 11 minggu rebuild dari nol.</w:t>
      </w:r>
    </w:p>
    <w:p>
      <w:pPr>
        <w:pStyle w:val="ListBullet"/>
      </w:pPr>
      <w:r>
        <w:t>Open architecture, no vendor lock-in (PostGIS + MVT = standar industri).</w:t>
      </w:r>
    </w:p>
    <w:p>
      <w:r>
        <w:br w:type="page"/>
      </w:r>
    </w:p>
    <w:p>
      <w:r>
        <w:rPr>
          <w:b/>
          <w:color w:val="1C2D54"/>
          <w:sz w:val="44"/>
        </w:rPr>
        <w:t>3. POTENSI PENDAPATAN (Kabupaten Bandung)</w:t>
      </w:r>
    </w:p>
    <w:p>
      <w:pPr>
        <w:spacing w:after="120"/>
      </w:pPr>
      <w:r>
        <w:rPr>
          <w:b w:val="0"/>
          <w:i/>
          <w:sz w:val="22"/>
        </w:rPr>
        <w:t>Section ini menghitung potensi pendapatan asli daerah (PAD) untuk DPUTR Kab. Bandung setelah implementasi SIPERA, dengan semua asumsi dijelaskan sumbernya supaya bisa diaudit ulang oleh tim DPUTR atau auditor independen.</w:t>
      </w:r>
    </w:p>
    <w:p/>
    <w:p>
      <w:r>
        <w:rPr>
          <w:b/>
          <w:color w:val="1C2D54"/>
          <w:sz w:val="32"/>
        </w:rPr>
        <w:t>3.1 Sumber Data &amp; Referensi</w:t>
      </w:r>
    </w:p>
    <w:tbl>
      <w:tblPr>
        <w:tblStyle w:val="LightGrid-Accent1"/>
        <w:tblW w:type="auto" w:w="0"/>
        <w:tblLook w:firstColumn="1" w:firstRow="1" w:lastColumn="0" w:lastRow="0" w:noHBand="0" w:noVBand="1" w:val="04A0"/>
      </w:tblPr>
      <w:tblGrid>
        <w:gridCol w:w="4844"/>
        <w:gridCol w:w="4844"/>
      </w:tblGrid>
      <w:tr>
        <w:tc>
          <w:tcPr>
            <w:tcW w:type="dxa" w:w="4844"/>
            <w:shd w:val="clear" w:color="auto" w:fill="1C2D54"/>
          </w:tcPr>
          <w:p>
            <w:r>
              <w:rPr>
                <w:b/>
                <w:color w:val="FFFFFF"/>
              </w:rPr>
              <w:t>Data Point</w:t>
            </w:r>
          </w:p>
        </w:tc>
        <w:tc>
          <w:tcPr>
            <w:tcW w:type="dxa" w:w="4844"/>
            <w:shd w:val="clear" w:color="auto" w:fill="1C2D54"/>
          </w:tcPr>
          <w:p>
            <w:r>
              <w:rPr>
                <w:b/>
                <w:color w:val="FFFFFF"/>
              </w:rPr>
              <w:t>Sumber</w:t>
            </w:r>
          </w:p>
        </w:tc>
      </w:tr>
      <w:tr>
        <w:tc>
          <w:tcPr>
            <w:tcW w:type="dxa" w:w="4844"/>
          </w:tcPr>
          <w:p>
            <w:r>
              <w:t>Penduduk &amp; wilayah Kab. Bandung</w:t>
            </w:r>
          </w:p>
        </w:tc>
        <w:tc>
          <w:tcPr>
            <w:tcW w:type="dxa" w:w="4844"/>
          </w:tcPr>
          <w:p>
            <w:r>
              <w:t>BPS Kab. Bandung 2023-2024</w:t>
            </w:r>
          </w:p>
        </w:tc>
      </w:tr>
      <w:tr>
        <w:tc>
          <w:tcPr>
            <w:tcW w:type="dxa" w:w="4844"/>
          </w:tcPr>
          <w:p>
            <w:r>
              <w:t>PBG terbit Kab. Bandung</w:t>
            </w:r>
          </w:p>
        </w:tc>
        <w:tc>
          <w:tcPr>
            <w:tcW w:type="dxa" w:w="4844"/>
          </w:tcPr>
          <w:p>
            <w:r>
              <w:t>SIMBG Kementerian PUPR (5.241 record real)</w:t>
            </w:r>
          </w:p>
        </w:tc>
      </w:tr>
      <w:tr>
        <w:tc>
          <w:tcPr>
            <w:tcW w:type="dxa" w:w="4844"/>
          </w:tcPr>
          <w:p>
            <w:r>
              <w:t>Bangunan terdeteksi 1,09M</w:t>
            </w:r>
          </w:p>
        </w:tc>
        <w:tc>
          <w:tcPr>
            <w:tcW w:type="dxa" w:w="4844"/>
          </w:tcPr>
          <w:p>
            <w:r>
              <w:t>Microsoft GlobalMLBuildingFootprints v3 (2024)</w:t>
            </w:r>
          </w:p>
        </w:tc>
      </w:tr>
      <w:tr>
        <w:tc>
          <w:tcPr>
            <w:tcW w:type="dxa" w:w="4844"/>
          </w:tcPr>
          <w:p>
            <w:r>
              <w:t>Bangunan terdeteksi 4,07M</w:t>
            </w:r>
          </w:p>
        </w:tc>
        <w:tc>
          <w:tcPr>
            <w:tcW w:type="dxa" w:w="4844"/>
          </w:tcPr>
          <w:p>
            <w:r>
              <w:t>Google Open Buildings v3 (2024) — release Jan 2024</w:t>
            </w:r>
          </w:p>
        </w:tc>
      </w:tr>
      <w:tr>
        <w:tc>
          <w:tcPr>
            <w:tcW w:type="dxa" w:w="4844"/>
          </w:tcPr>
          <w:p>
            <w:r>
              <w:t>Aturan PBG &amp; retribusi</w:t>
            </w:r>
          </w:p>
        </w:tc>
        <w:tc>
          <w:tcPr>
            <w:tcW w:type="dxa" w:w="4844"/>
          </w:tcPr>
          <w:p>
            <w:r>
              <w:t>PP 16/2021 + Perda Kab. Bandung tentang Retribusi PBG</w:t>
            </w:r>
          </w:p>
        </w:tc>
      </w:tr>
      <w:tr>
        <w:tc>
          <w:tcPr>
            <w:tcW w:type="dxa" w:w="4844"/>
          </w:tcPr>
          <w:p>
            <w:r>
              <w:t>Benchmark enforcement digital</w:t>
            </w:r>
          </w:p>
        </w:tc>
        <w:tc>
          <w:tcPr>
            <w:tcW w:type="dxa" w:w="4844"/>
          </w:tcPr>
          <w:p>
            <w:r>
              <w:t>Studi tax compliance Direktorat Jenderal Pajak</w:t>
            </w:r>
          </w:p>
        </w:tc>
      </w:tr>
    </w:tbl>
    <w:p/>
    <w:p>
      <w:r>
        <w:rPr>
          <w:b/>
          <w:color w:val="1C2D54"/>
          <w:sz w:val="32"/>
        </w:rPr>
        <w:t>3.2 Asumsi Kunci &amp; Justifikasi Angka</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Asumsi</w:t>
            </w:r>
          </w:p>
        </w:tc>
        <w:tc>
          <w:tcPr>
            <w:tcW w:type="dxa" w:w="3230"/>
            <w:shd w:val="clear" w:color="auto" w:fill="1C2D54"/>
          </w:tcPr>
          <w:p>
            <w:r>
              <w:rPr>
                <w:b/>
                <w:color w:val="FFFFFF"/>
              </w:rPr>
              <w:t>Nilai</w:t>
            </w:r>
          </w:p>
        </w:tc>
        <w:tc>
          <w:tcPr>
            <w:tcW w:type="dxa" w:w="3230"/>
            <w:shd w:val="clear" w:color="auto" w:fill="1C2D54"/>
          </w:tcPr>
          <w:p>
            <w:r>
              <w:rPr>
                <w:b/>
                <w:color w:val="FFFFFF"/>
              </w:rPr>
              <w:t>Sumber / Dasar Perhitungan</w:t>
            </w:r>
          </w:p>
        </w:tc>
      </w:tr>
      <w:tr>
        <w:tc>
          <w:tcPr>
            <w:tcW w:type="dxa" w:w="3230"/>
          </w:tcPr>
          <w:p>
            <w:r>
              <w:t>Penduduk Kab. Bandung</w:t>
            </w:r>
          </w:p>
        </w:tc>
        <w:tc>
          <w:tcPr>
            <w:tcW w:type="dxa" w:w="3230"/>
          </w:tcPr>
          <w:p>
            <w:r>
              <w:t>3,82 juta jiwa</w:t>
            </w:r>
          </w:p>
        </w:tc>
        <w:tc>
          <w:tcPr>
            <w:tcW w:type="dxa" w:w="3230"/>
          </w:tcPr>
          <w:p>
            <w:r>
              <w:t>BPS Kab. Bandung 2023</w:t>
            </w:r>
          </w:p>
        </w:tc>
      </w:tr>
      <w:tr>
        <w:tc>
          <w:tcPr>
            <w:tcW w:type="dxa" w:w="3230"/>
          </w:tcPr>
          <w:p>
            <w:r>
              <w:t>Luas wilayah</w:t>
            </w:r>
          </w:p>
        </w:tc>
        <w:tc>
          <w:tcPr>
            <w:tcW w:type="dxa" w:w="3230"/>
          </w:tcPr>
          <w:p>
            <w:r>
              <w:t>1.762 km²</w:t>
            </w:r>
          </w:p>
        </w:tc>
        <w:tc>
          <w:tcPr>
            <w:tcW w:type="dxa" w:w="3230"/>
          </w:tcPr>
          <w:p>
            <w:r>
              <w:t>BPS Kab. Bandung</w:t>
            </w:r>
          </w:p>
        </w:tc>
      </w:tr>
      <w:tr>
        <w:tc>
          <w:tcPr>
            <w:tcW w:type="dxa" w:w="3230"/>
          </w:tcPr>
          <w:p>
            <w:r>
              <w:t>Total kecamatan</w:t>
            </w:r>
          </w:p>
        </w:tc>
        <w:tc>
          <w:tcPr>
            <w:tcW w:type="dxa" w:w="3230"/>
          </w:tcPr>
          <w:p>
            <w:r>
              <w:t>31 kecamatan</w:t>
            </w:r>
          </w:p>
        </w:tc>
        <w:tc>
          <w:tcPr>
            <w:tcW w:type="dxa" w:w="3230"/>
          </w:tcPr>
          <w:p>
            <w:r>
              <w:t>BPS — 270 desa + 10 kelurahan</w:t>
            </w:r>
          </w:p>
        </w:tc>
      </w:tr>
      <w:tr>
        <w:tc>
          <w:tcPr>
            <w:tcW w:type="dxa" w:w="3230"/>
          </w:tcPr>
          <w:p>
            <w:r>
              <w:t>Bangunan terdeteksi MVP</w:t>
            </w:r>
          </w:p>
        </w:tc>
        <w:tc>
          <w:tcPr>
            <w:tcW w:type="dxa" w:w="3230"/>
          </w:tcPr>
          <w:p>
            <w:r>
              <w:t>1,09 juta</w:t>
            </w:r>
          </w:p>
        </w:tc>
        <w:tc>
          <w:tcPr>
            <w:tcW w:type="dxa" w:w="3230"/>
          </w:tcPr>
          <w:p>
            <w:r>
              <w:t>Microsoft Footprints v3 (2024)</w:t>
            </w:r>
          </w:p>
        </w:tc>
      </w:tr>
      <w:tr>
        <w:tc>
          <w:tcPr>
            <w:tcW w:type="dxa" w:w="3230"/>
          </w:tcPr>
          <w:p>
            <w:r>
              <w:t>Bangunan terdeteksi SIPERA</w:t>
            </w:r>
          </w:p>
        </w:tc>
        <w:tc>
          <w:tcPr>
            <w:tcW w:type="dxa" w:w="3230"/>
          </w:tcPr>
          <w:p>
            <w:r>
              <w:t>4,07 juta</w:t>
            </w:r>
          </w:p>
        </w:tc>
        <w:tc>
          <w:tcPr>
            <w:tcW w:type="dxa" w:w="3230"/>
          </w:tcPr>
          <w:p>
            <w:r>
              <w:t>Microsoft + Google Open Buildings v3</w:t>
            </w:r>
          </w:p>
        </w:tc>
      </w:tr>
      <w:tr>
        <w:tc>
          <w:tcPr>
            <w:tcW w:type="dxa" w:w="3230"/>
          </w:tcPr>
          <w:p>
            <w:r>
              <w:t>Filter ≥200 m² tanpa izin (MVP)</w:t>
            </w:r>
          </w:p>
        </w:tc>
        <w:tc>
          <w:tcPr>
            <w:tcW w:type="dxa" w:w="3230"/>
          </w:tcPr>
          <w:p>
            <w:r>
              <w:t>96.322 unit (8,8%)</w:t>
            </w:r>
          </w:p>
        </w:tc>
        <w:tc>
          <w:tcPr>
            <w:tcW w:type="dxa" w:w="3230"/>
          </w:tcPr>
          <w:p>
            <w:r>
              <w:t>Hasil filter audit data project</w:t>
            </w:r>
          </w:p>
        </w:tc>
      </w:tr>
      <w:tr>
        <w:tc>
          <w:tcPr>
            <w:tcW w:type="dxa" w:w="3230"/>
          </w:tcPr>
          <w:p>
            <w:r>
              <w:t>Estimasi target SIPERA</w:t>
            </w:r>
          </w:p>
        </w:tc>
        <w:tc>
          <w:tcPr>
            <w:tcW w:type="dxa" w:w="3230"/>
          </w:tcPr>
          <w:p>
            <w:r>
              <w:t>~360.000 unit</w:t>
            </w:r>
          </w:p>
        </w:tc>
        <w:tc>
          <w:tcPr>
            <w:tcW w:type="dxa" w:w="3230"/>
          </w:tcPr>
          <w:p>
            <w:r>
              <w:t>Asumsi proporsi 8,8% × 4,07M</w:t>
            </w:r>
          </w:p>
        </w:tc>
      </w:tr>
      <w:tr>
        <w:tc>
          <w:tcPr>
            <w:tcW w:type="dxa" w:w="3230"/>
          </w:tcPr>
          <w:p>
            <w:r>
              <w:t>Retribusi rata-rata PBG</w:t>
            </w:r>
          </w:p>
        </w:tc>
        <w:tc>
          <w:tcPr>
            <w:tcW w:type="dxa" w:w="3230"/>
          </w:tcPr>
          <w:p>
            <w:r>
              <w:t>Rp 10,66 juta</w:t>
            </w:r>
          </w:p>
        </w:tc>
        <w:tc>
          <w:tcPr>
            <w:tcW w:type="dxa" w:w="3230"/>
          </w:tcPr>
          <w:p>
            <w:r>
              <w:t>Real data SIMBG 5.241 PBG = Rp 55,86 M total</w:t>
            </w:r>
          </w:p>
        </w:tc>
      </w:tr>
      <w:tr>
        <w:tc>
          <w:tcPr>
            <w:tcW w:type="dxa" w:w="3230"/>
          </w:tcPr>
          <w:p>
            <w:r>
              <w:t>Enforcement realistis 10%</w:t>
            </w:r>
          </w:p>
        </w:tc>
        <w:tc>
          <w:tcPr>
            <w:tcW w:type="dxa" w:w="3230"/>
          </w:tcPr>
          <w:p>
            <w:r>
              <w:t>36.000 PBG</w:t>
            </w:r>
          </w:p>
        </w:tc>
        <w:tc>
          <w:tcPr>
            <w:tcW w:type="dxa" w:w="3230"/>
          </w:tcPr>
          <w:p>
            <w:r>
              <w:t>Best practice tax digital compliance</w:t>
            </w:r>
          </w:p>
        </w:tc>
      </w:tr>
    </w:tbl>
    <w:p/>
    <w:p>
      <w:pPr>
        <w:spacing w:after="120"/>
      </w:pPr>
      <w:r>
        <w:rPr>
          <w:b w:val="0"/>
          <w:i/>
          <w:color w:val="5A5A5A"/>
          <w:sz w:val="20"/>
        </w:rPr>
        <w:t>Validasi cross-check: 3,82 juta penduduk ÷ rata-rata 4 jiwa per rumah = 955.000 unit rumah tangga (range plausible terhadap 4,07M bangunan total termasuk non-residensial).</w:t>
      </w:r>
    </w:p>
    <w:p/>
    <w:p>
      <w:r>
        <w:rPr>
          <w:b/>
          <w:color w:val="1C2D54"/>
          <w:sz w:val="32"/>
        </w:rPr>
        <w:t>3.3 Skenario Potensi PAD dari 360.000 Bangunan Target</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shd w:val="clear" w:color="auto" w:fill="1C2D54"/>
          </w:tcPr>
          <w:p>
            <w:r>
              <w:rPr>
                <w:b/>
                <w:color w:val="FFFFFF"/>
              </w:rPr>
              <w:t>Skenario</w:t>
            </w:r>
          </w:p>
        </w:tc>
        <w:tc>
          <w:tcPr>
            <w:tcW w:type="dxa" w:w="2422"/>
            <w:shd w:val="clear" w:color="auto" w:fill="1C2D54"/>
          </w:tcPr>
          <w:p>
            <w:r>
              <w:rPr>
                <w:b/>
                <w:color w:val="FFFFFF"/>
              </w:rPr>
              <w:t>Tingkat Enforcement</w:t>
            </w:r>
          </w:p>
        </w:tc>
        <w:tc>
          <w:tcPr>
            <w:tcW w:type="dxa" w:w="2422"/>
            <w:shd w:val="clear" w:color="auto" w:fill="1C2D54"/>
          </w:tcPr>
          <w:p>
            <w:r>
              <w:rPr>
                <w:b/>
                <w:color w:val="FFFFFF"/>
              </w:rPr>
              <w:t>PBG Tertarik</w:t>
            </w:r>
          </w:p>
        </w:tc>
        <w:tc>
          <w:tcPr>
            <w:tcW w:type="dxa" w:w="2422"/>
            <w:shd w:val="clear" w:color="auto" w:fill="1C2D54"/>
          </w:tcPr>
          <w:p>
            <w:r>
              <w:rPr>
                <w:b/>
                <w:color w:val="FFFFFF"/>
              </w:rPr>
              <w:t>Potensi PAD</w:t>
            </w:r>
          </w:p>
        </w:tc>
      </w:tr>
      <w:tr>
        <w:tc>
          <w:tcPr>
            <w:tcW w:type="dxa" w:w="2422"/>
          </w:tcPr>
          <w:p>
            <w:r>
              <w:t>Super konservatif</w:t>
            </w:r>
          </w:p>
        </w:tc>
        <w:tc>
          <w:tcPr>
            <w:tcW w:type="dxa" w:w="2422"/>
          </w:tcPr>
          <w:p>
            <w:r>
              <w:t>1%</w:t>
            </w:r>
          </w:p>
        </w:tc>
        <w:tc>
          <w:tcPr>
            <w:tcW w:type="dxa" w:w="2422"/>
          </w:tcPr>
          <w:p>
            <w:r>
              <w:t>3.600</w:t>
            </w:r>
          </w:p>
        </w:tc>
        <w:tc>
          <w:tcPr>
            <w:tcW w:type="dxa" w:w="2422"/>
          </w:tcPr>
          <w:p>
            <w:r>
              <w:t>Rp 38,4 miliar</w:t>
            </w:r>
          </w:p>
        </w:tc>
      </w:tr>
      <w:tr>
        <w:tc>
          <w:tcPr>
            <w:tcW w:type="dxa" w:w="2422"/>
          </w:tcPr>
          <w:p>
            <w:r>
              <w:t>Konservatif</w:t>
            </w:r>
          </w:p>
        </w:tc>
        <w:tc>
          <w:tcPr>
            <w:tcW w:type="dxa" w:w="2422"/>
          </w:tcPr>
          <w:p>
            <w:r>
              <w:t>5%</w:t>
            </w:r>
          </w:p>
        </w:tc>
        <w:tc>
          <w:tcPr>
            <w:tcW w:type="dxa" w:w="2422"/>
          </w:tcPr>
          <w:p>
            <w:r>
              <w:t>18.000</w:t>
            </w:r>
          </w:p>
        </w:tc>
        <w:tc>
          <w:tcPr>
            <w:tcW w:type="dxa" w:w="2422"/>
          </w:tcPr>
          <w:p>
            <w:r>
              <w:t>Rp 191,9 miliar</w:t>
            </w:r>
          </w:p>
        </w:tc>
      </w:tr>
      <w:tr>
        <w:tc>
          <w:tcPr>
            <w:tcW w:type="dxa" w:w="2422"/>
          </w:tcPr>
          <w:p>
            <w:r>
              <w:t>Realistis</w:t>
            </w:r>
          </w:p>
        </w:tc>
        <w:tc>
          <w:tcPr>
            <w:tcW w:type="dxa" w:w="2422"/>
          </w:tcPr>
          <w:p>
            <w:r>
              <w:t>10%</w:t>
            </w:r>
          </w:p>
        </w:tc>
        <w:tc>
          <w:tcPr>
            <w:tcW w:type="dxa" w:w="2422"/>
          </w:tcPr>
          <w:p>
            <w:r>
              <w:t>36.000</w:t>
            </w:r>
          </w:p>
        </w:tc>
        <w:tc>
          <w:tcPr>
            <w:tcW w:type="dxa" w:w="2422"/>
          </w:tcPr>
          <w:p>
            <w:r>
              <w:t>Rp 383,8 miliar</w:t>
            </w:r>
          </w:p>
        </w:tc>
      </w:tr>
      <w:tr>
        <w:tc>
          <w:tcPr>
            <w:tcW w:type="dxa" w:w="2422"/>
          </w:tcPr>
          <w:p>
            <w:r>
              <w:t>Target wajar</w:t>
            </w:r>
          </w:p>
        </w:tc>
        <w:tc>
          <w:tcPr>
            <w:tcW w:type="dxa" w:w="2422"/>
          </w:tcPr>
          <w:p>
            <w:r>
              <w:t>20%</w:t>
            </w:r>
          </w:p>
        </w:tc>
        <w:tc>
          <w:tcPr>
            <w:tcW w:type="dxa" w:w="2422"/>
          </w:tcPr>
          <w:p>
            <w:r>
              <w:t>72.000</w:t>
            </w:r>
          </w:p>
        </w:tc>
        <w:tc>
          <w:tcPr>
            <w:tcW w:type="dxa" w:w="2422"/>
          </w:tcPr>
          <w:p>
            <w:r>
              <w:t>Rp 767,5 miliar</w:t>
            </w:r>
          </w:p>
        </w:tc>
      </w:tr>
      <w:tr>
        <w:tc>
          <w:tcPr>
            <w:tcW w:type="dxa" w:w="2422"/>
          </w:tcPr>
          <w:p>
            <w:r>
              <w:t>Agresif</w:t>
            </w:r>
          </w:p>
        </w:tc>
        <w:tc>
          <w:tcPr>
            <w:tcW w:type="dxa" w:w="2422"/>
          </w:tcPr>
          <w:p>
            <w:r>
              <w:t>30%</w:t>
            </w:r>
          </w:p>
        </w:tc>
        <w:tc>
          <w:tcPr>
            <w:tcW w:type="dxa" w:w="2422"/>
          </w:tcPr>
          <w:p>
            <w:r>
              <w:t>108.000</w:t>
            </w:r>
          </w:p>
        </w:tc>
        <w:tc>
          <w:tcPr>
            <w:tcW w:type="dxa" w:w="2422"/>
          </w:tcPr>
          <w:p>
            <w:r>
              <w:t>Rp 1.151 miliar</w:t>
            </w:r>
          </w:p>
        </w:tc>
      </w:tr>
    </w:tbl>
    <w:p/>
    <w:p>
      <w:pPr>
        <w:spacing w:after="120"/>
      </w:pPr>
      <w:r>
        <w:rPr>
          <w:b w:val="0"/>
          <w:i/>
          <w:color w:val="5A5A5A"/>
          <w:sz w:val="20"/>
        </w:rPr>
        <w:t>Formula: PBG tertarik = 360.000 × tingkat enforcement. Potensi PAD = PBG tertarik × Rp 10,66 juta. Skenario realistis (10%) sebanding dengan baseline tax compliance improvement studies DJP setelah digitalisasi (8-15%).</w:t>
      </w:r>
    </w:p>
    <w:p/>
    <w:p>
      <w:pPr>
        <w:spacing w:after="120"/>
      </w:pPr>
      <w:r>
        <w:rPr>
          <w:b/>
          <w:i w:val="0"/>
          <w:color w:val="28A745"/>
          <w:sz w:val="22"/>
        </w:rPr>
        <w:t>Tambahan dari MVP Satelit (10% realistis): Rp 383,8 M vs Rp 102,7 M = +Rp 281 miliar PAD tambahan yang baru terjangkau setelah upgrade SIPERA.</w:t>
      </w:r>
    </w:p>
    <w:p/>
    <w:p>
      <w:r>
        <w:rPr>
          <w:b/>
          <w:color w:val="1C2D54"/>
          <w:sz w:val="32"/>
        </w:rPr>
        <w:t>3.4 Justifikasi Tingkat Enforcement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Tingkat</w:t>
            </w:r>
          </w:p>
        </w:tc>
        <w:tc>
          <w:tcPr>
            <w:tcW w:type="dxa" w:w="3230"/>
            <w:shd w:val="clear" w:color="auto" w:fill="1C2D54"/>
          </w:tcPr>
          <w:p>
            <w:r>
              <w:rPr>
                <w:b/>
                <w:color w:val="FFFFFF"/>
              </w:rPr>
              <w:t>Kondisi</w:t>
            </w:r>
          </w:p>
        </w:tc>
        <w:tc>
          <w:tcPr>
            <w:tcW w:type="dxa" w:w="3230"/>
            <w:shd w:val="clear" w:color="auto" w:fill="1C2D54"/>
          </w:tcPr>
          <w:p>
            <w:r>
              <w:rPr>
                <w:b/>
                <w:color w:val="FFFFFF"/>
              </w:rPr>
              <w:t>Basis Argumentasi</w:t>
            </w:r>
          </w:p>
        </w:tc>
      </w:tr>
      <w:tr>
        <w:tc>
          <w:tcPr>
            <w:tcW w:type="dxa" w:w="3230"/>
          </w:tcPr>
          <w:p>
            <w:r>
              <w:t>1%</w:t>
            </w:r>
          </w:p>
        </w:tc>
        <w:tc>
          <w:tcPr>
            <w:tcW w:type="dxa" w:w="3230"/>
          </w:tcPr>
          <w:p>
            <w:r>
              <w:t>Worst-case adopsi minim</w:t>
            </w:r>
          </w:p>
        </w:tc>
        <w:tc>
          <w:tcPr>
            <w:tcW w:type="dxa" w:w="3230"/>
          </w:tcPr>
          <w:p>
            <w:r>
              <w:t>Tanpa kampanye, no follow-up</w:t>
            </w:r>
          </w:p>
        </w:tc>
      </w:tr>
      <w:tr>
        <w:tc>
          <w:tcPr>
            <w:tcW w:type="dxa" w:w="3230"/>
          </w:tcPr>
          <w:p>
            <w:r>
              <w:t>5%</w:t>
            </w:r>
          </w:p>
        </w:tc>
        <w:tc>
          <w:tcPr>
            <w:tcW w:type="dxa" w:w="3230"/>
          </w:tcPr>
          <w:p>
            <w:r>
              <w:t>Adopsi natural</w:t>
            </w:r>
          </w:p>
        </w:tc>
        <w:tc>
          <w:tcPr>
            <w:tcW w:type="dxa" w:w="3230"/>
          </w:tcPr>
          <w:p>
            <w:r>
              <w:t>Tingkat compliance suka rela properti rata-rata</w:t>
            </w:r>
          </w:p>
        </w:tc>
      </w:tr>
      <w:tr>
        <w:tc>
          <w:tcPr>
            <w:tcW w:type="dxa" w:w="3230"/>
          </w:tcPr>
          <w:p>
            <w:r>
              <w:t>10%</w:t>
            </w:r>
          </w:p>
        </w:tc>
        <w:tc>
          <w:tcPr>
            <w:tcW w:type="dxa" w:w="3230"/>
          </w:tcPr>
          <w:p>
            <w:r>
              <w:t>Workflow enforcement jalan</w:t>
            </w:r>
          </w:p>
        </w:tc>
        <w:tc>
          <w:tcPr>
            <w:tcW w:type="dxa" w:w="3230"/>
          </w:tcPr>
          <w:p>
            <w:r>
              <w:t>DJP benchmark digital tax improvement 8-15%</w:t>
            </w:r>
          </w:p>
        </w:tc>
      </w:tr>
      <w:tr>
        <w:tc>
          <w:tcPr>
            <w:tcW w:type="dxa" w:w="3230"/>
          </w:tcPr>
          <w:p>
            <w:r>
              <w:t>20%</w:t>
            </w:r>
          </w:p>
        </w:tc>
        <w:tc>
          <w:tcPr>
            <w:tcW w:type="dxa" w:w="3230"/>
          </w:tcPr>
          <w:p>
            <w:r>
              <w:t>Dedicated team enforcement</w:t>
            </w:r>
          </w:p>
        </w:tc>
        <w:tc>
          <w:tcPr>
            <w:tcW w:type="dxa" w:w="3230"/>
          </w:tcPr>
          <w:p>
            <w:r>
              <w:t>Sebanding capaian Kota Bekasi/Tangerang</w:t>
            </w:r>
          </w:p>
        </w:tc>
      </w:tr>
      <w:tr>
        <w:tc>
          <w:tcPr>
            <w:tcW w:type="dxa" w:w="3230"/>
          </w:tcPr>
          <w:p>
            <w:r>
              <w:t>30%</w:t>
            </w:r>
          </w:p>
        </w:tc>
        <w:tc>
          <w:tcPr>
            <w:tcW w:type="dxa" w:w="3230"/>
          </w:tcPr>
          <w:p>
            <w:r>
              <w:t>Kampanye + sanksi penuh</w:t>
            </w:r>
          </w:p>
        </w:tc>
        <w:tc>
          <w:tcPr>
            <w:tcW w:type="dxa" w:w="3230"/>
          </w:tcPr>
          <w:p>
            <w:r>
              <w:t>Best practice pemkot dengan SK Bupati</w:t>
            </w:r>
          </w:p>
        </w:tc>
      </w:tr>
    </w:tbl>
    <w:p/>
    <w:p>
      <w:r>
        <w:rPr>
          <w:b/>
          <w:color w:val="1C2D54"/>
          <w:sz w:val="32"/>
        </w:rPr>
        <w:t>3.5 Productivity Gain Staff Enforcement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Aktivitas</w:t>
            </w:r>
          </w:p>
        </w:tc>
        <w:tc>
          <w:tcPr>
            <w:tcW w:type="dxa" w:w="3230"/>
            <w:shd w:val="clear" w:color="auto" w:fill="1C2D54"/>
          </w:tcPr>
          <w:p>
            <w:r>
              <w:rPr>
                <w:b/>
                <w:color w:val="FFFFFF"/>
              </w:rPr>
              <w:t>Sebelum</w:t>
            </w:r>
          </w:p>
        </w:tc>
        <w:tc>
          <w:tcPr>
            <w:tcW w:type="dxa" w:w="3230"/>
            <w:shd w:val="clear" w:color="auto" w:fill="1C2D54"/>
          </w:tcPr>
          <w:p>
            <w:r>
              <w:rPr>
                <w:b/>
                <w:color w:val="FFFFFF"/>
              </w:rPr>
              <w:t>Setelah SIPERA</w:t>
            </w:r>
          </w:p>
        </w:tc>
      </w:tr>
      <w:tr>
        <w:tc>
          <w:tcPr>
            <w:tcW w:type="dxa" w:w="3230"/>
          </w:tcPr>
          <w:p>
            <w:r>
              <w:t>Audit 1 kecamatan</w:t>
            </w:r>
          </w:p>
        </w:tc>
        <w:tc>
          <w:tcPr>
            <w:tcW w:type="dxa" w:w="3230"/>
          </w:tcPr>
          <w:p>
            <w:r>
              <w:t>15-20 menit</w:t>
            </w:r>
          </w:p>
        </w:tc>
        <w:tc>
          <w:tcPr>
            <w:tcW w:type="dxa" w:w="3230"/>
          </w:tcPr>
          <w:p>
            <w:r>
              <w:t>5-8 menit (3× cepat)</w:t>
            </w:r>
          </w:p>
        </w:tc>
      </w:tr>
      <w:tr>
        <w:tc>
          <w:tcPr>
            <w:tcW w:type="dxa" w:w="3230"/>
          </w:tcPr>
          <w:p>
            <w:r>
              <w:t>Buka dashboard</w:t>
            </w:r>
          </w:p>
        </w:tc>
        <w:tc>
          <w:tcPr>
            <w:tcW w:type="dxa" w:w="3230"/>
          </w:tcPr>
          <w:p>
            <w:r>
              <w:t>22-30 detik</w:t>
            </w:r>
          </w:p>
        </w:tc>
        <w:tc>
          <w:tcPr>
            <w:tcW w:type="dxa" w:w="3230"/>
          </w:tcPr>
          <w:p>
            <w:r>
              <w:t>&lt;300 ms</w:t>
            </w:r>
          </w:p>
        </w:tc>
      </w:tr>
      <w:tr>
        <w:tc>
          <w:tcPr>
            <w:tcW w:type="dxa" w:w="3230"/>
          </w:tcPr>
          <w:p>
            <w:r>
              <w:t>Pan/zoom peta</w:t>
            </w:r>
          </w:p>
        </w:tc>
        <w:tc>
          <w:tcPr>
            <w:tcW w:type="dxa" w:w="3230"/>
          </w:tcPr>
          <w:p>
            <w:r>
              <w:t>Janky 15 fps</w:t>
            </w:r>
          </w:p>
        </w:tc>
        <w:tc>
          <w:tcPr>
            <w:tcW w:type="dxa" w:w="3230"/>
          </w:tcPr>
          <w:p>
            <w:r>
              <w:t>Smooth 50 fps</w:t>
            </w:r>
          </w:p>
        </w:tc>
      </w:tr>
      <w:tr>
        <w:tc>
          <w:tcPr>
            <w:tcW w:type="dxa" w:w="3230"/>
          </w:tcPr>
          <w:p>
            <w:r>
              <w:t>User concurrent</w:t>
            </w:r>
          </w:p>
        </w:tc>
        <w:tc>
          <w:tcPr>
            <w:tcW w:type="dxa" w:w="3230"/>
          </w:tcPr>
          <w:p>
            <w:r>
              <w:t>5-10 staff</w:t>
            </w:r>
          </w:p>
        </w:tc>
        <w:tc>
          <w:tcPr>
            <w:tcW w:type="dxa" w:w="3230"/>
          </w:tcPr>
          <w:p>
            <w:r>
              <w:t>50-80 staff</w:t>
            </w:r>
          </w:p>
        </w:tc>
      </w:tr>
      <w:tr>
        <w:tc>
          <w:tcPr>
            <w:tcW w:type="dxa" w:w="3230"/>
          </w:tcPr>
          <w:p>
            <w:r>
              <w:t>Akses HP lapangan</w:t>
            </w:r>
          </w:p>
        </w:tc>
        <w:tc>
          <w:tcPr>
            <w:tcW w:type="dxa" w:w="3230"/>
          </w:tcPr>
          <w:p>
            <w:r>
              <w:t>Crash</w:t>
            </w:r>
          </w:p>
        </w:tc>
        <w:tc>
          <w:tcPr>
            <w:tcW w:type="dxa" w:w="3230"/>
          </w:tcPr>
          <w:p>
            <w:r>
              <w:t>Lancar</w:t>
            </w:r>
          </w:p>
        </w:tc>
      </w:tr>
    </w:tbl>
    <w:p/>
    <w:p>
      <w:pPr>
        <w:spacing w:after="120"/>
      </w:pPr>
      <w:r>
        <w:rPr>
          <w:b w:val="0"/>
          <w:i/>
          <w:color w:val="5A5A5A"/>
          <w:sz w:val="20"/>
        </w:rPr>
        <w:t>Throughput audit 3× lipat → realisasi PAD lebih cepat. Asumsi 31 kecamatan × 8 audit per bulan × 12 bulan × (15 menit hemat) = ~750 jam staff/tahun untuk seluruh DPUTR.</w:t>
      </w:r>
    </w:p>
    <w:p/>
    <w:p>
      <w:r>
        <w:rPr>
          <w:b/>
          <w:color w:val="1C2D54"/>
          <w:sz w:val="32"/>
        </w:rPr>
        <w:t>3.6 Ringkasan ROI SIPERA</w:t>
      </w:r>
    </w:p>
    <w:tbl>
      <w:tblPr>
        <w:tblStyle w:val="LightGrid-Accent1"/>
        <w:tblW w:type="auto" w:w="0"/>
        <w:tblLook w:firstColumn="1" w:firstRow="1" w:lastColumn="0" w:lastRow="0" w:noHBand="0" w:noVBand="1" w:val="04A0"/>
      </w:tblPr>
      <w:tblGrid>
        <w:gridCol w:w="4844"/>
        <w:gridCol w:w="4844"/>
      </w:tblGrid>
      <w:tr>
        <w:tc>
          <w:tcPr>
            <w:tcW w:type="dxa" w:w="4844"/>
            <w:shd w:val="clear" w:color="auto" w:fill="E8ECEF"/>
          </w:tcPr>
          <w:p>
            <w:r>
              <w:t>Investasi SIPERA (Paket A+B)</w:t>
            </w:r>
          </w:p>
        </w:tc>
        <w:tc>
          <w:tcPr>
            <w:tcW w:type="dxa" w:w="4844"/>
          </w:tcPr>
          <w:p>
            <w:r>
              <w:t>Rp 100 juta</w:t>
            </w:r>
          </w:p>
        </w:tc>
      </w:tr>
      <w:tr>
        <w:tc>
          <w:tcPr>
            <w:tcW w:type="dxa" w:w="4844"/>
            <w:shd w:val="clear" w:color="auto" w:fill="E8ECEF"/>
          </w:tcPr>
          <w:p>
            <w:r>
              <w:t>Tambahan PAD direct (skenario realistis 10%)</w:t>
            </w:r>
          </w:p>
        </w:tc>
        <w:tc>
          <w:tcPr>
            <w:tcW w:type="dxa" w:w="4844"/>
          </w:tcPr>
          <w:p>
            <w:r>
              <w:t>+Rp 281 miliar</w:t>
            </w:r>
          </w:p>
        </w:tc>
      </w:tr>
      <w:tr>
        <w:tc>
          <w:tcPr>
            <w:tcW w:type="dxa" w:w="4844"/>
            <w:shd w:val="clear" w:color="auto" w:fill="E8ECEF"/>
          </w:tcPr>
          <w:p>
            <w:r>
              <w:t>Rasio ROI direct</w:t>
            </w:r>
          </w:p>
        </w:tc>
        <w:tc>
          <w:tcPr>
            <w:tcW w:type="dxa" w:w="4844"/>
          </w:tcPr>
          <w:p>
            <w:r>
              <w:t>&gt;2.800×</w:t>
            </w:r>
          </w:p>
        </w:tc>
      </w:tr>
      <w:tr>
        <w:tc>
          <w:tcPr>
            <w:tcW w:type="dxa" w:w="4844"/>
            <w:shd w:val="clear" w:color="auto" w:fill="E8ECEF"/>
          </w:tcPr>
          <w:p>
            <w:r>
              <w:t>Break-even</w:t>
            </w:r>
          </w:p>
        </w:tc>
        <w:tc>
          <w:tcPr>
            <w:tcW w:type="dxa" w:w="4844"/>
          </w:tcPr>
          <w:p>
            <w:r>
              <w:t>10 PBG baru ditertibkan</w:t>
            </w:r>
          </w:p>
        </w:tc>
      </w:tr>
      <w:tr>
        <w:tc>
          <w:tcPr>
            <w:tcW w:type="dxa" w:w="4844"/>
            <w:shd w:val="clear" w:color="auto" w:fill="E8ECEF"/>
          </w:tcPr>
          <w:p>
            <w:r>
              <w:t>Total ROI gabungan (Satelit+SIPERA Rp 260jt)</w:t>
            </w:r>
          </w:p>
        </w:tc>
        <w:tc>
          <w:tcPr>
            <w:tcW w:type="dxa" w:w="4844"/>
          </w:tcPr>
          <w:p>
            <w:r>
              <w:t>~1.476× terhadap PAD Rp 383,8 M</w:t>
            </w:r>
          </w:p>
        </w:tc>
      </w:tr>
    </w:tbl>
    <w:p/>
    <w:p>
      <w:pPr>
        <w:spacing w:after="120"/>
      </w:pPr>
      <w:r>
        <w:rPr>
          <w:b w:val="0"/>
          <w:i/>
          <w:color w:val="1C2D54"/>
          <w:sz w:val="20"/>
        </w:rPr>
        <w:t>Semua angka di atas adalah tambahan dari proposal Satelit Rp 150 juta. Total ROI dihitung terhadap PAD skenario realistis Kab. Bandung saja (belum termasuk denda administratif, PBB, atau efek tata ruang).</w:t>
      </w:r>
    </w:p>
    <w:p>
      <w:r>
        <w:br w:type="page"/>
      </w:r>
    </w:p>
    <w:p>
      <w:r>
        <w:rPr>
          <w:b/>
          <w:color w:val="1C2D54"/>
          <w:sz w:val="44"/>
        </w:rPr>
        <w:t>4. RUANG LINGKUP PEKERJAAN</w:t>
      </w:r>
    </w:p>
    <w:p>
      <w:pPr>
        <w:spacing w:after="120"/>
      </w:pPr>
      <w:r>
        <w:rPr>
          <w:b w:val="0"/>
          <w:i/>
          <w:color w:val="5A5A5A"/>
          <w:sz w:val="22"/>
        </w:rPr>
        <w:t>Seluruh scope pekerjaan disajikan dalam bentuk tabel untuk kemudahan audit dan tracking deliverable. Rincian nilai investasi ada pada Bagian 5.</w:t>
      </w:r>
    </w:p>
    <w:p/>
    <w:p>
      <w:r>
        <w:rPr>
          <w:b/>
          <w:color w:val="1C2D54"/>
          <w:sz w:val="32"/>
        </w:rPr>
        <w:t>Paket A — Foundation Upgrade: Migration &amp; Spatial Stack Setup</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A</w:t>
            </w:r>
          </w:p>
        </w:tc>
      </w:tr>
      <w:tr>
        <w:tc>
          <w:tcPr>
            <w:tcW w:type="dxa" w:w="4844"/>
            <w:shd w:val="clear" w:color="auto" w:fill="1C2D54"/>
          </w:tcPr>
          <w:p>
            <w:r>
              <w:rPr>
                <w:b/>
                <w:color w:val="FFFFFF"/>
              </w:rPr>
              <w:t>Nama Paket</w:t>
            </w:r>
          </w:p>
        </w:tc>
        <w:tc>
          <w:tcPr>
            <w:tcW w:type="dxa" w:w="4844"/>
          </w:tcPr>
          <w:p>
            <w:r>
              <w:t>Migrasi MariaDB → PostGIS + Setup Spatial Infrastructure</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A.1</w:t>
            </w:r>
          </w:p>
        </w:tc>
        <w:tc>
          <w:tcPr>
            <w:tcW w:type="dxa" w:w="4844"/>
          </w:tcPr>
          <w:p>
            <w:r>
              <w:t>Setup PostGIS 16 (Docker) dengan tuning shared_buffers=2GB, work_mem=64MB, maintenance_work_mem=512MB.</w:t>
            </w:r>
          </w:p>
        </w:tc>
      </w:tr>
      <w:tr>
        <w:tc>
          <w:tcPr>
            <w:tcW w:type="dxa" w:w="4844"/>
            <w:shd w:val="clear" w:color="auto" w:fill="E8ECEF"/>
          </w:tcPr>
          <w:p>
            <w:r>
              <w:rPr>
                <w:b/>
                <w:color w:val="1C2D54"/>
              </w:rPr>
              <w:t>A.2</w:t>
            </w:r>
          </w:p>
        </w:tc>
        <w:tc>
          <w:tcPr>
            <w:tcW w:type="dxa" w:w="4844"/>
          </w:tcPr>
          <w:p>
            <w:r>
              <w:t>GIST spatial indexing untuk 4M+ geometries (rendering p95 &lt;500ms).</w:t>
            </w:r>
          </w:p>
        </w:tc>
      </w:tr>
      <w:tr>
        <w:tc>
          <w:tcPr>
            <w:tcW w:type="dxa" w:w="4844"/>
            <w:shd w:val="clear" w:color="auto" w:fill="E8ECEF"/>
          </w:tcPr>
          <w:p>
            <w:r>
              <w:rPr>
                <w:b/>
                <w:color w:val="1C2D54"/>
              </w:rPr>
              <w:t>A.3</w:t>
            </w:r>
          </w:p>
        </w:tc>
        <w:tc>
          <w:tcPr>
            <w:tcW w:type="dxa" w:w="4844"/>
          </w:tcPr>
          <w:p>
            <w:r>
              <w:t>Migrasi data MariaDB → PostGIS dengan MultiPolygon + Polygon dual-handling (ST_GeometryN).</w:t>
            </w:r>
          </w:p>
        </w:tc>
      </w:tr>
      <w:tr>
        <w:tc>
          <w:tcPr>
            <w:tcW w:type="dxa" w:w="4844"/>
            <w:shd w:val="clear" w:color="auto" w:fill="E8ECEF"/>
          </w:tcPr>
          <w:p>
            <w:r>
              <w:rPr>
                <w:b/>
                <w:color w:val="1C2D54"/>
              </w:rPr>
              <w:t>A.4</w:t>
            </w:r>
          </w:p>
        </w:tc>
        <w:tc>
          <w:tcPr>
            <w:tcW w:type="dxa" w:w="4844"/>
          </w:tcPr>
          <w:p>
            <w:r>
              <w:t>Setup Redis caching layer (24h TTL + auto-invalidation pada verify event).</w:t>
            </w:r>
          </w:p>
        </w:tc>
      </w:tr>
      <w:tr>
        <w:tc>
          <w:tcPr>
            <w:tcW w:type="dxa" w:w="4844"/>
            <w:shd w:val="clear" w:color="auto" w:fill="E8ECEF"/>
          </w:tcPr>
          <w:p>
            <w:r>
              <w:rPr>
                <w:b/>
                <w:color w:val="1C2D54"/>
              </w:rPr>
              <w:t>A.5</w:t>
            </w:r>
          </w:p>
        </w:tc>
        <w:tc>
          <w:tcPr>
            <w:tcW w:type="dxa" w:w="4844"/>
          </w:tcPr>
          <w:p>
            <w:r>
              <w:t>Daily prewarm cron (Windows Task Scheduler / systemd) untuk warm cache.</w:t>
            </w:r>
          </w:p>
        </w:tc>
      </w:tr>
      <w:tr>
        <w:tc>
          <w:tcPr>
            <w:tcW w:type="dxa" w:w="4844"/>
            <w:shd w:val="clear" w:color="auto" w:fill="E8ECEF"/>
          </w:tcPr>
          <w:p>
            <w:r>
              <w:rPr>
                <w:b/>
                <w:color w:val="1C2D54"/>
              </w:rPr>
              <w:t>A.6</w:t>
            </w:r>
          </w:p>
        </w:tc>
        <w:tc>
          <w:tcPr>
            <w:tcW w:type="dxa" w:w="4844"/>
          </w:tcPr>
          <w:p>
            <w:r>
              <w:t>Reproducible deploy script (Docker Compose) + rollback runbook.</w:t>
            </w:r>
          </w:p>
        </w:tc>
      </w:tr>
    </w:tbl>
    <w:p/>
    <w:p>
      <w:r>
        <w:rPr>
          <w:b/>
          <w:color w:val="1C2D54"/>
          <w:sz w:val="32"/>
        </w:rPr>
        <w:t>Paket B — Geospatial Engineering Platform</w:t>
      </w:r>
    </w:p>
    <w:p>
      <w:pPr>
        <w:spacing w:after="120"/>
      </w:pPr>
      <w:r>
        <w:rPr>
          <w:b w:val="0"/>
          <w:i/>
          <w:sz w:val="22"/>
        </w:rPr>
        <w:t>Paket B dipecah menjadi 7 sub-paket teknis:</w:t>
      </w:r>
    </w:p>
    <w:tbl>
      <w:tblPr>
        <w:tblStyle w:val="LightGrid-Accent1"/>
        <w:tblW w:type="auto" w:w="0"/>
        <w:tblLook w:firstColumn="1" w:firstRow="1" w:lastColumn="0" w:lastRow="0" w:noHBand="0" w:noVBand="1" w:val="04A0"/>
      </w:tblPr>
      <w:tblGrid>
        <w:gridCol w:w="1134"/>
        <w:gridCol w:w="2835"/>
        <w:gridCol w:w="5102"/>
      </w:tblGrid>
      <w:tr>
        <w:tc>
          <w:tcPr>
            <w:tcW w:type="dxa" w:w="3230"/>
            <w:shd w:val="clear" w:color="auto" w:fill="1C2D54"/>
          </w:tcPr>
          <w:p>
            <w:r>
              <w:rPr>
                <w:b/>
                <w:color w:val="FFFFFF"/>
              </w:rPr>
              <w:t>Kode</w:t>
            </w:r>
          </w:p>
        </w:tc>
        <w:tc>
          <w:tcPr>
            <w:tcW w:type="dxa" w:w="3230"/>
            <w:shd w:val="clear" w:color="auto" w:fill="1C2D54"/>
          </w:tcPr>
          <w:p>
            <w:r>
              <w:rPr>
                <w:b/>
                <w:color w:val="FFFFFF"/>
              </w:rPr>
              <w:t>Sub-Paket</w:t>
            </w:r>
          </w:p>
        </w:tc>
        <w:tc>
          <w:tcPr>
            <w:tcW w:type="dxa" w:w="3230"/>
            <w:shd w:val="clear" w:color="auto" w:fill="1C2D54"/>
          </w:tcPr>
          <w:p>
            <w:r>
              <w:rPr>
                <w:b/>
                <w:color w:val="FFFFFF"/>
              </w:rPr>
              <w:t>Deliverable</w:t>
            </w:r>
          </w:p>
        </w:tc>
      </w:tr>
      <w:tr>
        <w:tc>
          <w:tcPr>
            <w:tcW w:type="dxa" w:w="3230"/>
            <w:shd w:val="clear" w:color="auto" w:fill="C9A227"/>
          </w:tcPr>
          <w:p>
            <w:r>
              <w:rPr>
                <w:b/>
                <w:color w:val="FFFFFF"/>
              </w:rPr>
              <w:t>B.1</w:t>
            </w:r>
          </w:p>
        </w:tc>
        <w:tc>
          <w:tcPr>
            <w:tcW w:type="dxa" w:w="3230"/>
            <w:shd w:val="clear" w:color="auto" w:fill="C9A227"/>
          </w:tcPr>
          <w:p>
            <w:r>
              <w:rPr>
                <w:b/>
                <w:color w:val="FFFFFF"/>
              </w:rPr>
              <w:t>Multi-Source Data Pipeline (4M+ rows)</w:t>
            </w:r>
          </w:p>
        </w:tc>
        <w:tc>
          <w:tcPr>
            <w:tcW w:type="dxa" w:w="3230"/>
            <w:shd w:val="clear" w:color="auto" w:fill="C9A227"/>
          </w:tcPr>
          <w:p>
            <w:r>
              <w:rPr>
                <w:b/>
                <w:color w:val="FFFFFF"/>
              </w:rPr>
            </w:r>
          </w:p>
        </w:tc>
      </w:tr>
      <w:tr>
        <w:tc>
          <w:tcPr>
            <w:tcW w:type="dxa" w:w="3230"/>
            <w:shd w:val="clear" w:color="auto" w:fill="E8ECEF"/>
          </w:tcPr>
          <w:p>
            <w:r>
              <w:rPr>
                <w:b/>
                <w:color w:val="1C2D54"/>
              </w:rPr>
              <w:t>B.1.1</w:t>
            </w:r>
          </w:p>
        </w:tc>
        <w:tc>
          <w:tcPr>
            <w:tcW w:type="dxa" w:w="3230"/>
          </w:tcPr>
          <w:p>
            <w:r/>
          </w:p>
        </w:tc>
        <w:tc>
          <w:tcPr>
            <w:tcW w:type="dxa" w:w="3230"/>
          </w:tcPr>
          <w:p>
            <w:r>
              <w:t>Ingest Google Open Buildings 4,07 juta polygon (3,7× dari Microsoft).</w:t>
            </w:r>
          </w:p>
        </w:tc>
      </w:tr>
      <w:tr>
        <w:tc>
          <w:tcPr>
            <w:tcW w:type="dxa" w:w="3230"/>
            <w:shd w:val="clear" w:color="auto" w:fill="E8ECEF"/>
          </w:tcPr>
          <w:p>
            <w:r>
              <w:rPr>
                <w:b/>
                <w:color w:val="1C2D54"/>
              </w:rPr>
              <w:t>B.1.2</w:t>
            </w:r>
          </w:p>
        </w:tc>
        <w:tc>
          <w:tcPr>
            <w:tcW w:type="dxa" w:w="3230"/>
          </w:tcPr>
          <w:p>
            <w:r/>
          </w:p>
        </w:tc>
        <w:tc>
          <w:tcPr>
            <w:tcW w:type="dxa" w:w="3230"/>
          </w:tcPr>
          <w:p>
            <w:r>
              <w:t>Multi-source merger: Microsoft + Google + manual annotation.</w:t>
            </w:r>
          </w:p>
        </w:tc>
      </w:tr>
      <w:tr>
        <w:tc>
          <w:tcPr>
            <w:tcW w:type="dxa" w:w="3230"/>
            <w:shd w:val="clear" w:color="auto" w:fill="E8ECEF"/>
          </w:tcPr>
          <w:p>
            <w:r>
              <w:rPr>
                <w:b/>
                <w:color w:val="1C2D54"/>
              </w:rPr>
              <w:t>B.1.3</w:t>
            </w:r>
          </w:p>
        </w:tc>
        <w:tc>
          <w:tcPr>
            <w:tcW w:type="dxa" w:w="3230"/>
          </w:tcPr>
          <w:p>
            <w:r/>
          </w:p>
        </w:tc>
        <w:tc>
          <w:tcPr>
            <w:tcW w:type="dxa" w:w="3230"/>
          </w:tcPr>
          <w:p>
            <w:r>
              <w:t>Kecamatan enrichment 4,07M rows via Python + scipy KDTree.</w:t>
            </w:r>
          </w:p>
        </w:tc>
      </w:tr>
      <w:tr>
        <w:tc>
          <w:tcPr>
            <w:tcW w:type="dxa" w:w="3230"/>
            <w:shd w:val="clear" w:color="auto" w:fill="E8ECEF"/>
          </w:tcPr>
          <w:p>
            <w:r>
              <w:rPr>
                <w:b/>
                <w:color w:val="1C2D54"/>
              </w:rPr>
              <w:t>B.1.4</w:t>
            </w:r>
          </w:p>
        </w:tc>
        <w:tc>
          <w:tcPr>
            <w:tcW w:type="dxa" w:w="3230"/>
          </w:tcPr>
          <w:p>
            <w:r/>
          </w:p>
        </w:tc>
        <w:tc>
          <w:tcPr>
            <w:tcW w:type="dxa" w:w="3230"/>
          </w:tcPr>
          <w:p>
            <w:r>
              <w:t>High-performance spatial matching engine (~36K rows/sec).</w:t>
            </w:r>
          </w:p>
        </w:tc>
      </w:tr>
      <w:tr>
        <w:tc>
          <w:tcPr>
            <w:tcW w:type="dxa" w:w="3230"/>
            <w:shd w:val="clear" w:color="auto" w:fill="E8ECEF"/>
          </w:tcPr>
          <w:p>
            <w:r>
              <w:rPr>
                <w:b/>
                <w:color w:val="1C2D54"/>
              </w:rPr>
              <w:t>B.1.5</w:t>
            </w:r>
          </w:p>
        </w:tc>
        <w:tc>
          <w:tcPr>
            <w:tcW w:type="dxa" w:w="3230"/>
          </w:tcPr>
          <w:p>
            <w:r/>
          </w:p>
        </w:tc>
        <w:tc>
          <w:tcPr>
            <w:tcW w:type="dxa" w:w="3230"/>
          </w:tcPr>
          <w:p>
            <w:r>
              <w:t>Data quality audit + reconciliation report multi-source.</w:t>
            </w:r>
          </w:p>
        </w:tc>
      </w:tr>
      <w:tr>
        <w:tc>
          <w:tcPr>
            <w:tcW w:type="dxa" w:w="3230"/>
            <w:shd w:val="clear" w:color="auto" w:fill="E8ECEF"/>
          </w:tcPr>
          <w:p>
            <w:r>
              <w:rPr>
                <w:b/>
                <w:color w:val="1C2D54"/>
              </w:rPr>
              <w:t>B.1.6</w:t>
            </w:r>
          </w:p>
        </w:tc>
        <w:tc>
          <w:tcPr>
            <w:tcW w:type="dxa" w:w="3230"/>
          </w:tcPr>
          <w:p>
            <w:r/>
          </w:p>
        </w:tc>
        <w:tc>
          <w:tcPr>
            <w:tcW w:type="dxa" w:w="3230"/>
          </w:tcPr>
          <w:p>
            <w:r>
              <w:t>Reproducible pipeline scripts (Python + Bash + Artisan).</w:t>
            </w:r>
          </w:p>
        </w:tc>
      </w:tr>
      <w:tr>
        <w:tc>
          <w:tcPr>
            <w:tcW w:type="dxa" w:w="3230"/>
            <w:shd w:val="clear" w:color="auto" w:fill="C9A227"/>
          </w:tcPr>
          <w:p>
            <w:r>
              <w:rPr>
                <w:b/>
                <w:color w:val="FFFFFF"/>
              </w:rPr>
              <w:t>B.2</w:t>
            </w:r>
          </w:p>
        </w:tc>
        <w:tc>
          <w:tcPr>
            <w:tcW w:type="dxa" w:w="3230"/>
            <w:shd w:val="clear" w:color="auto" w:fill="C9A227"/>
          </w:tcPr>
          <w:p>
            <w:r>
              <w:rPr>
                <w:b/>
                <w:color w:val="FFFFFF"/>
              </w:rPr>
              <w:t>Enterprise Spatial Database (PostGIS + Redis)</w:t>
            </w:r>
          </w:p>
        </w:tc>
        <w:tc>
          <w:tcPr>
            <w:tcW w:type="dxa" w:w="3230"/>
            <w:shd w:val="clear" w:color="auto" w:fill="C9A227"/>
          </w:tcPr>
          <w:p>
            <w:r>
              <w:rPr>
                <w:b/>
                <w:color w:val="FFFFFF"/>
              </w:rPr>
            </w:r>
          </w:p>
        </w:tc>
      </w:tr>
      <w:tr>
        <w:tc>
          <w:tcPr>
            <w:tcW w:type="dxa" w:w="3230"/>
            <w:shd w:val="clear" w:color="auto" w:fill="E8ECEF"/>
          </w:tcPr>
          <w:p>
            <w:r>
              <w:rPr>
                <w:b/>
                <w:color w:val="1C2D54"/>
              </w:rPr>
              <w:t>B.2.1</w:t>
            </w:r>
          </w:p>
        </w:tc>
        <w:tc>
          <w:tcPr>
            <w:tcW w:type="dxa" w:w="3230"/>
          </w:tcPr>
          <w:p>
            <w:r/>
          </w:p>
        </w:tc>
        <w:tc>
          <w:tcPr>
            <w:tcW w:type="dxa" w:w="3230"/>
          </w:tcPr>
          <w:p>
            <w:r>
              <w:t>PostGIS 16 schema dengan multi-source tables + indexed geometry.</w:t>
            </w:r>
          </w:p>
        </w:tc>
      </w:tr>
      <w:tr>
        <w:tc>
          <w:tcPr>
            <w:tcW w:type="dxa" w:w="3230"/>
            <w:shd w:val="clear" w:color="auto" w:fill="E8ECEF"/>
          </w:tcPr>
          <w:p>
            <w:r>
              <w:rPr>
                <w:b/>
                <w:color w:val="1C2D54"/>
              </w:rPr>
              <w:t>B.2.2</w:t>
            </w:r>
          </w:p>
        </w:tc>
        <w:tc>
          <w:tcPr>
            <w:tcW w:type="dxa" w:w="3230"/>
          </w:tcPr>
          <w:p>
            <w:r/>
          </w:p>
        </w:tc>
        <w:tc>
          <w:tcPr>
            <w:tcW w:type="dxa" w:w="3230"/>
          </w:tcPr>
          <w:p>
            <w:r>
              <w:t>Custom MVT SQL function (zoom-aware, modulo sampling untuk low-zoom).</w:t>
            </w:r>
          </w:p>
        </w:tc>
      </w:tr>
      <w:tr>
        <w:tc>
          <w:tcPr>
            <w:tcW w:type="dxa" w:w="3230"/>
            <w:shd w:val="clear" w:color="auto" w:fill="E8ECEF"/>
          </w:tcPr>
          <w:p>
            <w:r>
              <w:rPr>
                <w:b/>
                <w:color w:val="1C2D54"/>
              </w:rPr>
              <w:t>B.2.3</w:t>
            </w:r>
          </w:p>
        </w:tc>
        <w:tc>
          <w:tcPr>
            <w:tcW w:type="dxa" w:w="3230"/>
          </w:tcPr>
          <w:p>
            <w:r/>
          </w:p>
        </w:tc>
        <w:tc>
          <w:tcPr>
            <w:tcW w:type="dxa" w:w="3230"/>
          </w:tcPr>
          <w:p>
            <w:r>
              <w:t>Redis cache layer dengan 24h TTL untuk tile + cluster endpoints.</w:t>
            </w:r>
          </w:p>
        </w:tc>
      </w:tr>
      <w:tr>
        <w:tc>
          <w:tcPr>
            <w:tcW w:type="dxa" w:w="3230"/>
            <w:shd w:val="clear" w:color="auto" w:fill="E8ECEF"/>
          </w:tcPr>
          <w:p>
            <w:r>
              <w:rPr>
                <w:b/>
                <w:color w:val="1C2D54"/>
              </w:rPr>
              <w:t>B.2.4</w:t>
            </w:r>
          </w:p>
        </w:tc>
        <w:tc>
          <w:tcPr>
            <w:tcW w:type="dxa" w:w="3230"/>
          </w:tcPr>
          <w:p>
            <w:r/>
          </w:p>
        </w:tc>
        <w:tc>
          <w:tcPr>
            <w:tcW w:type="dxa" w:w="3230"/>
          </w:tcPr>
          <w:p>
            <w:r>
              <w:t>MultiPolygon ST_GeometryN handling untuk irregular shapes.</w:t>
            </w:r>
          </w:p>
        </w:tc>
      </w:tr>
      <w:tr>
        <w:tc>
          <w:tcPr>
            <w:tcW w:type="dxa" w:w="3230"/>
            <w:shd w:val="clear" w:color="auto" w:fill="E8ECEF"/>
          </w:tcPr>
          <w:p>
            <w:r>
              <w:rPr>
                <w:b/>
                <w:color w:val="1C2D54"/>
              </w:rPr>
              <w:t>B.2.5</w:t>
            </w:r>
          </w:p>
        </w:tc>
        <w:tc>
          <w:tcPr>
            <w:tcW w:type="dxa" w:w="3230"/>
          </w:tcPr>
          <w:p>
            <w:r/>
          </w:p>
        </w:tc>
        <w:tc>
          <w:tcPr>
            <w:tcW w:type="dxa" w:w="3230"/>
          </w:tcPr>
          <w:p>
            <w:r>
              <w:t>PostgreSQL tuning + benchmark report (cold vs warm).</w:t>
            </w:r>
          </w:p>
        </w:tc>
      </w:tr>
      <w:tr>
        <w:tc>
          <w:tcPr>
            <w:tcW w:type="dxa" w:w="3230"/>
            <w:shd w:val="clear" w:color="auto" w:fill="C9A227"/>
          </w:tcPr>
          <w:p>
            <w:r>
              <w:rPr>
                <w:b/>
                <w:color w:val="FFFFFF"/>
              </w:rPr>
              <w:t>B.3</w:t>
            </w:r>
          </w:p>
        </w:tc>
        <w:tc>
          <w:tcPr>
            <w:tcW w:type="dxa" w:w="3230"/>
            <w:shd w:val="clear" w:color="auto" w:fill="C9A227"/>
          </w:tcPr>
          <w:p>
            <w:r>
              <w:rPr>
                <w:b/>
                <w:color w:val="FFFFFF"/>
              </w:rPr>
              <w:t>Vector Tile Rendering Pipeline (Mapbox-grade)</w:t>
            </w:r>
          </w:p>
        </w:tc>
        <w:tc>
          <w:tcPr>
            <w:tcW w:type="dxa" w:w="3230"/>
            <w:shd w:val="clear" w:color="auto" w:fill="C9A227"/>
          </w:tcPr>
          <w:p>
            <w:r>
              <w:rPr>
                <w:b/>
                <w:color w:val="FFFFFF"/>
              </w:rPr>
            </w:r>
          </w:p>
        </w:tc>
      </w:tr>
      <w:tr>
        <w:tc>
          <w:tcPr>
            <w:tcW w:type="dxa" w:w="3230"/>
            <w:shd w:val="clear" w:color="auto" w:fill="E8ECEF"/>
          </w:tcPr>
          <w:p>
            <w:r>
              <w:rPr>
                <w:b/>
                <w:color w:val="1C2D54"/>
              </w:rPr>
              <w:t>B.3.1</w:t>
            </w:r>
          </w:p>
        </w:tc>
        <w:tc>
          <w:tcPr>
            <w:tcW w:type="dxa" w:w="3230"/>
          </w:tcPr>
          <w:p>
            <w:r/>
          </w:p>
        </w:tc>
        <w:tc>
          <w:tcPr>
            <w:tcW w:type="dxa" w:w="3230"/>
          </w:tcPr>
          <w:p>
            <w:r>
              <w:t>Martin Vector Tile Server deployment (industry-standard MVT).</w:t>
            </w:r>
          </w:p>
        </w:tc>
      </w:tr>
      <w:tr>
        <w:tc>
          <w:tcPr>
            <w:tcW w:type="dxa" w:w="3230"/>
            <w:shd w:val="clear" w:color="auto" w:fill="E8ECEF"/>
          </w:tcPr>
          <w:p>
            <w:r>
              <w:rPr>
                <w:b/>
                <w:color w:val="1C2D54"/>
              </w:rPr>
              <w:t>B.3.2</w:t>
            </w:r>
          </w:p>
        </w:tc>
        <w:tc>
          <w:tcPr>
            <w:tcW w:type="dxa" w:w="3230"/>
          </w:tcPr>
          <w:p>
            <w:r/>
          </w:p>
        </w:tc>
        <w:tc>
          <w:tcPr>
            <w:tcW w:type="dxa" w:w="3230"/>
          </w:tcPr>
          <w:p>
            <w:r>
              <w:t>TilesController endpoint dengan tile cache headers (max-age=86400).</w:t>
            </w:r>
          </w:p>
        </w:tc>
      </w:tr>
      <w:tr>
        <w:tc>
          <w:tcPr>
            <w:tcW w:type="dxa" w:w="3230"/>
            <w:shd w:val="clear" w:color="auto" w:fill="E8ECEF"/>
          </w:tcPr>
          <w:p>
            <w:r>
              <w:rPr>
                <w:b/>
                <w:color w:val="1C2D54"/>
              </w:rPr>
              <w:t>B.3.3</w:t>
            </w:r>
          </w:p>
        </w:tc>
        <w:tc>
          <w:tcPr>
            <w:tcW w:type="dxa" w:w="3230"/>
          </w:tcPr>
          <w:p>
            <w:r/>
          </w:p>
        </w:tc>
        <w:tc>
          <w:tcPr>
            <w:tcW w:type="dxa" w:w="3230"/>
          </w:tcPr>
          <w:p>
            <w:r>
              <w:t>Leaflet.VectorGrid integration (replace GeoJSON layer untuk 4M polygon).</w:t>
            </w:r>
          </w:p>
        </w:tc>
      </w:tr>
      <w:tr>
        <w:tc>
          <w:tcPr>
            <w:tcW w:type="dxa" w:w="3230"/>
            <w:shd w:val="clear" w:color="auto" w:fill="E8ECEF"/>
          </w:tcPr>
          <w:p>
            <w:r>
              <w:rPr>
                <w:b/>
                <w:color w:val="1C2D54"/>
              </w:rPr>
              <w:t>B.3.4</w:t>
            </w:r>
          </w:p>
        </w:tc>
        <w:tc>
          <w:tcPr>
            <w:tcW w:type="dxa" w:w="3230"/>
          </w:tcPr>
          <w:p>
            <w:r/>
          </w:p>
        </w:tc>
        <w:tc>
          <w:tcPr>
            <w:tcW w:type="dxa" w:w="3230"/>
          </w:tcPr>
          <w:p>
            <w:r>
              <w:t>5-state polygon palette aligned dengan cluster pins (terbit/proses/ditolak/tanpa-izin/PBG).</w:t>
            </w:r>
          </w:p>
        </w:tc>
      </w:tr>
      <w:tr>
        <w:tc>
          <w:tcPr>
            <w:tcW w:type="dxa" w:w="3230"/>
            <w:shd w:val="clear" w:color="auto" w:fill="E8ECEF"/>
          </w:tcPr>
          <w:p>
            <w:r>
              <w:rPr>
                <w:b/>
                <w:color w:val="1C2D54"/>
              </w:rPr>
              <w:t>B.3.5</w:t>
            </w:r>
          </w:p>
        </w:tc>
        <w:tc>
          <w:tcPr>
            <w:tcW w:type="dxa" w:w="3230"/>
          </w:tcPr>
          <w:p>
            <w:r/>
          </w:p>
        </w:tc>
        <w:tc>
          <w:tcPr>
            <w:tcW w:type="dxa" w:w="3230"/>
          </w:tcPr>
          <w:p>
            <w:r>
              <w:t>Modulo sampling (b.id % 5) untuk low-zoom z≤15 supaya render tetap cepat.</w:t>
            </w:r>
          </w:p>
        </w:tc>
      </w:tr>
      <w:tr>
        <w:tc>
          <w:tcPr>
            <w:tcW w:type="dxa" w:w="3230"/>
            <w:shd w:val="clear" w:color="auto" w:fill="C9A227"/>
          </w:tcPr>
          <w:p>
            <w:r>
              <w:rPr>
                <w:b/>
                <w:color w:val="FFFFFF"/>
              </w:rPr>
              <w:t>B.4</w:t>
            </w:r>
          </w:p>
        </w:tc>
        <w:tc>
          <w:tcPr>
            <w:tcW w:type="dxa" w:w="3230"/>
            <w:shd w:val="clear" w:color="auto" w:fill="C9A227"/>
          </w:tcPr>
          <w:p>
            <w:r>
              <w:rPr>
                <w:b/>
                <w:color w:val="FFFFFF"/>
              </w:rPr>
              <w:t>Server-Side Spatial Aggregation</w:t>
            </w:r>
          </w:p>
        </w:tc>
        <w:tc>
          <w:tcPr>
            <w:tcW w:type="dxa" w:w="3230"/>
            <w:shd w:val="clear" w:color="auto" w:fill="C9A227"/>
          </w:tcPr>
          <w:p>
            <w:r>
              <w:rPr>
                <w:b/>
                <w:color w:val="FFFFFF"/>
              </w:rPr>
            </w:r>
          </w:p>
        </w:tc>
      </w:tr>
      <w:tr>
        <w:tc>
          <w:tcPr>
            <w:tcW w:type="dxa" w:w="3230"/>
            <w:shd w:val="clear" w:color="auto" w:fill="E8ECEF"/>
          </w:tcPr>
          <w:p>
            <w:r>
              <w:rPr>
                <w:b/>
                <w:color w:val="1C2D54"/>
              </w:rPr>
              <w:t>B.4.1</w:t>
            </w:r>
          </w:p>
        </w:tc>
        <w:tc>
          <w:tcPr>
            <w:tcW w:type="dxa" w:w="3230"/>
          </w:tcPr>
          <w:p>
            <w:r/>
          </w:p>
        </w:tc>
        <w:tc>
          <w:tcPr>
            <w:tcW w:type="dxa" w:w="3230"/>
          </w:tcPr>
          <w:p>
            <w:r>
              <w:t>Endpoint /clusters dengan PostGIS grid bucketing (z6-13).</w:t>
            </w:r>
          </w:p>
        </w:tc>
      </w:tr>
      <w:tr>
        <w:tc>
          <w:tcPr>
            <w:tcW w:type="dxa" w:w="3230"/>
            <w:shd w:val="clear" w:color="auto" w:fill="E8ECEF"/>
          </w:tcPr>
          <w:p>
            <w:r>
              <w:rPr>
                <w:b/>
                <w:color w:val="1C2D54"/>
              </w:rPr>
              <w:t>B.4.2</w:t>
            </w:r>
          </w:p>
        </w:tc>
        <w:tc>
          <w:tcPr>
            <w:tcW w:type="dxa" w:w="3230"/>
          </w:tcPr>
          <w:p>
            <w:r/>
          </w:p>
        </w:tc>
        <w:tc>
          <w:tcPr>
            <w:tcW w:type="dxa" w:w="3230"/>
          </w:tcPr>
          <w:p>
            <w:r>
              <w:t>Adaptive zoom-based aggregation (step = 112.5 / 2^zoom).</w:t>
            </w:r>
          </w:p>
        </w:tc>
      </w:tr>
      <w:tr>
        <w:tc>
          <w:tcPr>
            <w:tcW w:type="dxa" w:w="3230"/>
            <w:shd w:val="clear" w:color="auto" w:fill="E8ECEF"/>
          </w:tcPr>
          <w:p>
            <w:r>
              <w:rPr>
                <w:b/>
                <w:color w:val="1C2D54"/>
              </w:rPr>
              <w:t>B.4.3</w:t>
            </w:r>
          </w:p>
        </w:tc>
        <w:tc>
          <w:tcPr>
            <w:tcW w:type="dxa" w:w="3230"/>
          </w:tcPr>
          <w:p>
            <w:r/>
          </w:p>
        </w:tc>
        <w:tc>
          <w:tcPr>
            <w:tcW w:type="dxa" w:w="3230"/>
          </w:tcPr>
          <w:p>
            <w:r>
              <w:t>24h cluster cache + daily prewarm via cron.</w:t>
            </w:r>
          </w:p>
        </w:tc>
      </w:tr>
      <w:tr>
        <w:tc>
          <w:tcPr>
            <w:tcW w:type="dxa" w:w="3230"/>
            <w:shd w:val="clear" w:color="auto" w:fill="E8ECEF"/>
          </w:tcPr>
          <w:p>
            <w:r>
              <w:rPr>
                <w:b/>
                <w:color w:val="1C2D54"/>
              </w:rPr>
              <w:t>B.4.4</w:t>
            </w:r>
          </w:p>
        </w:tc>
        <w:tc>
          <w:tcPr>
            <w:tcW w:type="dxa" w:w="3230"/>
          </w:tcPr>
          <w:p>
            <w:r/>
          </w:p>
        </w:tc>
        <w:tc>
          <w:tcPr>
            <w:tcW w:type="dxa" w:w="3230"/>
          </w:tcPr>
          <w:p>
            <w:r>
              <w:t>Frontend mode-switch otomatis (cluster ↔ vector tile ↔ individual).</w:t>
            </w:r>
          </w:p>
        </w:tc>
      </w:tr>
      <w:tr>
        <w:tc>
          <w:tcPr>
            <w:tcW w:type="dxa" w:w="3230"/>
            <w:shd w:val="clear" w:color="auto" w:fill="C9A227"/>
          </w:tcPr>
          <w:p>
            <w:r>
              <w:rPr>
                <w:b/>
                <w:color w:val="FFFFFF"/>
              </w:rPr>
              <w:t>B.5</w:t>
            </w:r>
          </w:p>
        </w:tc>
        <w:tc>
          <w:tcPr>
            <w:tcW w:type="dxa" w:w="3230"/>
            <w:shd w:val="clear" w:color="auto" w:fill="C9A227"/>
          </w:tcPr>
          <w:p>
            <w:r>
              <w:rPr>
                <w:b/>
                <w:color w:val="FFFFFF"/>
              </w:rPr>
              <w:t>Filter-Gated Rendering UX</w:t>
            </w:r>
          </w:p>
        </w:tc>
        <w:tc>
          <w:tcPr>
            <w:tcW w:type="dxa" w:w="3230"/>
            <w:shd w:val="clear" w:color="auto" w:fill="C9A227"/>
          </w:tcPr>
          <w:p>
            <w:r>
              <w:rPr>
                <w:b/>
                <w:color w:val="FFFFFF"/>
              </w:rPr>
            </w:r>
          </w:p>
        </w:tc>
      </w:tr>
      <w:tr>
        <w:tc>
          <w:tcPr>
            <w:tcW w:type="dxa" w:w="3230"/>
            <w:shd w:val="clear" w:color="auto" w:fill="E8ECEF"/>
          </w:tcPr>
          <w:p>
            <w:r>
              <w:rPr>
                <w:b/>
                <w:color w:val="1C2D54"/>
              </w:rPr>
              <w:t>B.5.1</w:t>
            </w:r>
          </w:p>
        </w:tc>
        <w:tc>
          <w:tcPr>
            <w:tcW w:type="dxa" w:w="3230"/>
          </w:tcPr>
          <w:p>
            <w:r/>
          </w:p>
        </w:tc>
        <w:tc>
          <w:tcPr>
            <w:tcW w:type="dxa" w:w="3230"/>
          </w:tcPr>
          <w:p>
            <w:r>
              <w:t>Choropleth default view: 31 polygon kecamatan dengan warna density.</w:t>
            </w:r>
          </w:p>
        </w:tc>
      </w:tr>
      <w:tr>
        <w:tc>
          <w:tcPr>
            <w:tcW w:type="dxa" w:w="3230"/>
            <w:shd w:val="clear" w:color="auto" w:fill="E8ECEF"/>
          </w:tcPr>
          <w:p>
            <w:r>
              <w:rPr>
                <w:b/>
                <w:color w:val="1C2D54"/>
              </w:rPr>
              <w:t>B.5.2</w:t>
            </w:r>
          </w:p>
        </w:tc>
        <w:tc>
          <w:tcPr>
            <w:tcW w:type="dxa" w:w="3230"/>
          </w:tcPr>
          <w:p>
            <w:r/>
          </w:p>
        </w:tc>
        <w:tc>
          <w:tcPr>
            <w:tcW w:type="dxa" w:w="3230"/>
          </w:tcPr>
          <w:p>
            <w:r>
              <w:t>Materialized view kecamatan_violation_stats (daily refresh).</w:t>
            </w:r>
          </w:p>
        </w:tc>
      </w:tr>
      <w:tr>
        <w:tc>
          <w:tcPr>
            <w:tcW w:type="dxa" w:w="3230"/>
            <w:shd w:val="clear" w:color="auto" w:fill="E8ECEF"/>
          </w:tcPr>
          <w:p>
            <w:r>
              <w:rPr>
                <w:b/>
                <w:color w:val="1C2D54"/>
              </w:rPr>
              <w:t>B.5.3</w:t>
            </w:r>
          </w:p>
        </w:tc>
        <w:tc>
          <w:tcPr>
            <w:tcW w:type="dxa" w:w="3230"/>
          </w:tcPr>
          <w:p>
            <w:r/>
          </w:p>
        </w:tc>
        <w:tc>
          <w:tcPr>
            <w:tcW w:type="dxa" w:w="3230"/>
          </w:tcPr>
          <w:p>
            <w:r>
              <w:t>Mode otomatis: no filter → choropleth, filter kecamatan → cluster+tile, filter desa → polygon individual.</w:t>
            </w:r>
          </w:p>
        </w:tc>
      </w:tr>
      <w:tr>
        <w:tc>
          <w:tcPr>
            <w:tcW w:type="dxa" w:w="3230"/>
            <w:shd w:val="clear" w:color="auto" w:fill="E8ECEF"/>
          </w:tcPr>
          <w:p>
            <w:r>
              <w:rPr>
                <w:b/>
                <w:color w:val="1C2D54"/>
              </w:rPr>
              <w:t>B.5.4</w:t>
            </w:r>
          </w:p>
        </w:tc>
        <w:tc>
          <w:tcPr>
            <w:tcW w:type="dxa" w:w="3230"/>
          </w:tcPr>
          <w:p>
            <w:r/>
          </w:p>
        </w:tc>
        <w:tc>
          <w:tcPr>
            <w:tcW w:type="dxa" w:w="3230"/>
          </w:tcPr>
          <w:p>
            <w:r>
              <w:t>Empty-state UX yang informatif (bukan layar kosong).</w:t>
            </w:r>
          </w:p>
        </w:tc>
      </w:tr>
      <w:tr>
        <w:tc>
          <w:tcPr>
            <w:tcW w:type="dxa" w:w="3230"/>
            <w:shd w:val="clear" w:color="auto" w:fill="C9A227"/>
          </w:tcPr>
          <w:p>
            <w:r>
              <w:rPr>
                <w:b/>
                <w:color w:val="FFFFFF"/>
              </w:rPr>
              <w:t>B.6</w:t>
            </w:r>
          </w:p>
        </w:tc>
        <w:tc>
          <w:tcPr>
            <w:tcW w:type="dxa" w:w="3230"/>
            <w:shd w:val="clear" w:color="auto" w:fill="C9A227"/>
          </w:tcPr>
          <w:p>
            <w:r>
              <w:rPr>
                <w:b/>
                <w:color w:val="FFFFFF"/>
              </w:rPr>
              <w:t>Lazy Rendering Optimizations</w:t>
            </w:r>
          </w:p>
        </w:tc>
        <w:tc>
          <w:tcPr>
            <w:tcW w:type="dxa" w:w="3230"/>
            <w:shd w:val="clear" w:color="auto" w:fill="C9A227"/>
          </w:tcPr>
          <w:p>
            <w:r>
              <w:rPr>
                <w:b/>
                <w:color w:val="FFFFFF"/>
              </w:rPr>
            </w:r>
          </w:p>
        </w:tc>
      </w:tr>
      <w:tr>
        <w:tc>
          <w:tcPr>
            <w:tcW w:type="dxa" w:w="3230"/>
            <w:shd w:val="clear" w:color="auto" w:fill="E8ECEF"/>
          </w:tcPr>
          <w:p>
            <w:r>
              <w:rPr>
                <w:b/>
                <w:color w:val="1C2D54"/>
              </w:rPr>
              <w:t>B.6.1</w:t>
            </w:r>
          </w:p>
        </w:tc>
        <w:tc>
          <w:tcPr>
            <w:tcW w:type="dxa" w:w="3230"/>
          </w:tcPr>
          <w:p>
            <w:r/>
          </w:p>
        </w:tc>
        <w:tc>
          <w:tcPr>
            <w:tcW w:type="dxa" w:w="3230"/>
          </w:tcPr>
          <w:p>
            <w:r>
              <w:t>Pan/zoom debounce 300ms (gak refetch tiap drag).</w:t>
            </w:r>
          </w:p>
        </w:tc>
      </w:tr>
      <w:tr>
        <w:tc>
          <w:tcPr>
            <w:tcW w:type="dxa" w:w="3230"/>
            <w:shd w:val="clear" w:color="auto" w:fill="E8ECEF"/>
          </w:tcPr>
          <w:p>
            <w:r>
              <w:rPr>
                <w:b/>
                <w:color w:val="1C2D54"/>
              </w:rPr>
              <w:t>B.6.2</w:t>
            </w:r>
          </w:p>
        </w:tc>
        <w:tc>
          <w:tcPr>
            <w:tcW w:type="dxa" w:w="3230"/>
          </w:tcPr>
          <w:p>
            <w:r/>
          </w:p>
        </w:tc>
        <w:tc>
          <w:tcPr>
            <w:tcW w:type="dxa" w:w="3230"/>
          </w:tcPr>
          <w:p>
            <w:r>
              <w:t>Centroid-first rendering z14-15 (titik dulu, polygon z≥16).</w:t>
            </w:r>
          </w:p>
        </w:tc>
      </w:tr>
      <w:tr>
        <w:tc>
          <w:tcPr>
            <w:tcW w:type="dxa" w:w="3230"/>
            <w:shd w:val="clear" w:color="auto" w:fill="E8ECEF"/>
          </w:tcPr>
          <w:p>
            <w:r>
              <w:rPr>
                <w:b/>
                <w:color w:val="1C2D54"/>
              </w:rPr>
              <w:t>B.6.3</w:t>
            </w:r>
          </w:p>
        </w:tc>
        <w:tc>
          <w:tcPr>
            <w:tcW w:type="dxa" w:w="3230"/>
          </w:tcPr>
          <w:p>
            <w:r/>
          </w:p>
        </w:tc>
        <w:tc>
          <w:tcPr>
            <w:tcW w:type="dxa" w:w="3230"/>
          </w:tcPr>
          <w:p>
            <w:r>
              <w:t>Progressive viewport clipping (drop polygon di luar viewport ketat).</w:t>
            </w:r>
          </w:p>
        </w:tc>
      </w:tr>
      <w:tr>
        <w:tc>
          <w:tcPr>
            <w:tcW w:type="dxa" w:w="3230"/>
            <w:shd w:val="clear" w:color="auto" w:fill="E8ECEF"/>
          </w:tcPr>
          <w:p>
            <w:r>
              <w:rPr>
                <w:b/>
                <w:color w:val="1C2D54"/>
              </w:rPr>
              <w:t>B.6.4</w:t>
            </w:r>
          </w:p>
        </w:tc>
        <w:tc>
          <w:tcPr>
            <w:tcW w:type="dxa" w:w="3230"/>
          </w:tcPr>
          <w:p>
            <w:r/>
          </w:p>
        </w:tc>
        <w:tc>
          <w:tcPr>
            <w:tcW w:type="dxa" w:w="3230"/>
          </w:tcPr>
          <w:p>
            <w:r>
              <w:t>Loading skeleton + abort-on-pan race handling.</w:t>
            </w:r>
          </w:p>
        </w:tc>
      </w:tr>
      <w:tr>
        <w:tc>
          <w:tcPr>
            <w:tcW w:type="dxa" w:w="3230"/>
            <w:shd w:val="clear" w:color="auto" w:fill="C9A227"/>
          </w:tcPr>
          <w:p>
            <w:r>
              <w:rPr>
                <w:b/>
                <w:color w:val="FFFFFF"/>
              </w:rPr>
              <w:t>B.7</w:t>
            </w:r>
          </w:p>
        </w:tc>
        <w:tc>
          <w:tcPr>
            <w:tcW w:type="dxa" w:w="3230"/>
            <w:shd w:val="clear" w:color="auto" w:fill="C9A227"/>
          </w:tcPr>
          <w:p>
            <w:r>
              <w:rPr>
                <w:b/>
                <w:color w:val="FFFFFF"/>
              </w:rPr>
              <w:t>Performance Engineering &amp; Production Readiness</w:t>
            </w:r>
          </w:p>
        </w:tc>
        <w:tc>
          <w:tcPr>
            <w:tcW w:type="dxa" w:w="3230"/>
            <w:shd w:val="clear" w:color="auto" w:fill="C9A227"/>
          </w:tcPr>
          <w:p>
            <w:r>
              <w:rPr>
                <w:b/>
                <w:color w:val="FFFFFF"/>
              </w:rPr>
            </w:r>
          </w:p>
        </w:tc>
      </w:tr>
      <w:tr>
        <w:tc>
          <w:tcPr>
            <w:tcW w:type="dxa" w:w="3230"/>
            <w:shd w:val="clear" w:color="auto" w:fill="E8ECEF"/>
          </w:tcPr>
          <w:p>
            <w:r>
              <w:rPr>
                <w:b/>
                <w:color w:val="1C2D54"/>
              </w:rPr>
              <w:t>B.7.1</w:t>
            </w:r>
          </w:p>
        </w:tc>
        <w:tc>
          <w:tcPr>
            <w:tcW w:type="dxa" w:w="3230"/>
          </w:tcPr>
          <w:p>
            <w:r/>
          </w:p>
        </w:tc>
        <w:tc>
          <w:tcPr>
            <w:tcW w:type="dxa" w:w="3230"/>
          </w:tcPr>
          <w:p>
            <w:r>
              <w:t>13 ranked performance optimizations (load test + before/after report).</w:t>
            </w:r>
          </w:p>
        </w:tc>
      </w:tr>
      <w:tr>
        <w:tc>
          <w:tcPr>
            <w:tcW w:type="dxa" w:w="3230"/>
            <w:shd w:val="clear" w:color="auto" w:fill="E8ECEF"/>
          </w:tcPr>
          <w:p>
            <w:r>
              <w:rPr>
                <w:b/>
                <w:color w:val="1C2D54"/>
              </w:rPr>
              <w:t>B.7.2</w:t>
            </w:r>
          </w:p>
        </w:tc>
        <w:tc>
          <w:tcPr>
            <w:tcW w:type="dxa" w:w="3230"/>
          </w:tcPr>
          <w:p>
            <w:r/>
          </w:p>
        </w:tc>
        <w:tc>
          <w:tcPr>
            <w:tcW w:type="dxa" w:w="3230"/>
          </w:tcPr>
          <w:p>
            <w:r>
              <w:t>Playwright-based benchmark dengan network timing breakdown.</w:t>
            </w:r>
          </w:p>
        </w:tc>
      </w:tr>
      <w:tr>
        <w:tc>
          <w:tcPr>
            <w:tcW w:type="dxa" w:w="3230"/>
            <w:shd w:val="clear" w:color="auto" w:fill="E8ECEF"/>
          </w:tcPr>
          <w:p>
            <w:r>
              <w:rPr>
                <w:b/>
                <w:color w:val="1C2D54"/>
              </w:rPr>
              <w:t>B.7.3</w:t>
            </w:r>
          </w:p>
        </w:tc>
        <w:tc>
          <w:tcPr>
            <w:tcW w:type="dxa" w:w="3230"/>
          </w:tcPr>
          <w:p>
            <w:r/>
          </w:p>
        </w:tc>
        <w:tc>
          <w:tcPr>
            <w:tcW w:type="dxa" w:w="3230"/>
          </w:tcPr>
          <w:p>
            <w:r>
              <w:t>Tile feature LIMIT 10K + zoom-conditional sampling.</w:t>
            </w:r>
          </w:p>
        </w:tc>
      </w:tr>
      <w:tr>
        <w:tc>
          <w:tcPr>
            <w:tcW w:type="dxa" w:w="3230"/>
            <w:shd w:val="clear" w:color="auto" w:fill="E8ECEF"/>
          </w:tcPr>
          <w:p>
            <w:r>
              <w:rPr>
                <w:b/>
                <w:color w:val="1C2D54"/>
              </w:rPr>
              <w:t>B.7.4</w:t>
            </w:r>
          </w:p>
        </w:tc>
        <w:tc>
          <w:tcPr>
            <w:tcW w:type="dxa" w:w="3230"/>
          </w:tcPr>
          <w:p>
            <w:r/>
          </w:p>
        </w:tc>
        <w:tc>
          <w:tcPr>
            <w:tcW w:type="dxa" w:w="3230"/>
          </w:tcPr>
          <w:p>
            <w:r>
              <w:t>Verified visual regression: warna polygon/cluster alignment.</w:t>
            </w:r>
          </w:p>
        </w:tc>
      </w:tr>
      <w:tr>
        <w:tc>
          <w:tcPr>
            <w:tcW w:type="dxa" w:w="3230"/>
            <w:shd w:val="clear" w:color="auto" w:fill="E8ECEF"/>
          </w:tcPr>
          <w:p>
            <w:r>
              <w:rPr>
                <w:b/>
                <w:color w:val="1C2D54"/>
              </w:rPr>
              <w:t>B.7.5</w:t>
            </w:r>
          </w:p>
        </w:tc>
        <w:tc>
          <w:tcPr>
            <w:tcW w:type="dxa" w:w="3230"/>
          </w:tcPr>
          <w:p>
            <w:r/>
          </w:p>
        </w:tc>
        <w:tc>
          <w:tcPr>
            <w:tcW w:type="dxa" w:w="3230"/>
          </w:tcPr>
          <w:p>
            <w:r>
              <w:t>Health-check endpoint + monitoring runbook.</w:t>
            </w:r>
          </w:p>
        </w:tc>
      </w:tr>
    </w:tbl>
    <w:p/>
    <w:p>
      <w:r>
        <w:rPr>
          <w:b/>
          <w:color w:val="1C2D54"/>
          <w:sz w:val="32"/>
        </w:rPr>
        <w:t>Paket C — Multi-Kabupaten Templating (Opsional)</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C</w:t>
            </w:r>
          </w:p>
        </w:tc>
      </w:tr>
      <w:tr>
        <w:tc>
          <w:tcPr>
            <w:tcW w:type="dxa" w:w="4844"/>
            <w:shd w:val="clear" w:color="auto" w:fill="1C2D54"/>
          </w:tcPr>
          <w:p>
            <w:r>
              <w:rPr>
                <w:b/>
                <w:color w:val="FFFFFF"/>
              </w:rPr>
              <w:t>Nama Paket</w:t>
            </w:r>
          </w:p>
        </w:tc>
        <w:tc>
          <w:tcPr>
            <w:tcW w:type="dxa" w:w="4844"/>
          </w:tcPr>
          <w:p>
            <w:r>
              <w:t>Template Deploy ke Kabupaten Lain (1 hari setup)</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C.1</w:t>
            </w:r>
          </w:p>
        </w:tc>
        <w:tc>
          <w:tcPr>
            <w:tcW w:type="dxa" w:w="4844"/>
          </w:tcPr>
          <w:p>
            <w:r>
              <w:t>Schema generic (tidak hardcode Kab. Bandung).</w:t>
            </w:r>
          </w:p>
        </w:tc>
      </w:tr>
      <w:tr>
        <w:tc>
          <w:tcPr>
            <w:tcW w:type="dxa" w:w="4844"/>
            <w:shd w:val="clear" w:color="auto" w:fill="E8ECEF"/>
          </w:tcPr>
          <w:p>
            <w:r>
              <w:rPr>
                <w:b/>
                <w:color w:val="1C2D54"/>
              </w:rPr>
              <w:t>C.2</w:t>
            </w:r>
          </w:p>
        </w:tc>
        <w:tc>
          <w:tcPr>
            <w:tcW w:type="dxa" w:w="4844"/>
          </w:tcPr>
          <w:p>
            <w:r>
              <w:t>Per-kabupaten config file (admin boundary, bbox, prewarm targets).</w:t>
            </w:r>
          </w:p>
        </w:tc>
      </w:tr>
      <w:tr>
        <w:tc>
          <w:tcPr>
            <w:tcW w:type="dxa" w:w="4844"/>
            <w:shd w:val="clear" w:color="auto" w:fill="E8ECEF"/>
          </w:tcPr>
          <w:p>
            <w:r>
              <w:rPr>
                <w:b/>
                <w:color w:val="1C2D54"/>
              </w:rPr>
              <w:t>C.3</w:t>
            </w:r>
          </w:p>
        </w:tc>
        <w:tc>
          <w:tcPr>
            <w:tcW w:type="dxa" w:w="4844"/>
          </w:tcPr>
          <w:p>
            <w:r>
              <w:t>Documentation deploy ke kabupaten baru (~1 hari setup).</w:t>
            </w:r>
          </w:p>
        </w:tc>
      </w:tr>
      <w:tr>
        <w:tc>
          <w:tcPr>
            <w:tcW w:type="dxa" w:w="4844"/>
            <w:shd w:val="clear" w:color="auto" w:fill="E8ECEF"/>
          </w:tcPr>
          <w:p>
            <w:r>
              <w:rPr>
                <w:b/>
                <w:color w:val="1C2D54"/>
              </w:rPr>
              <w:t>C.4</w:t>
            </w:r>
          </w:p>
        </w:tc>
        <w:tc>
          <w:tcPr>
            <w:tcW w:type="dxa" w:w="4844"/>
          </w:tcPr>
          <w:p>
            <w:r>
              <w:t>Tested deploy script untuk minimal 1 kabupaten referensi.</w:t>
            </w:r>
          </w:p>
        </w:tc>
      </w:tr>
    </w:tbl>
    <w:p/>
    <w:p>
      <w:r>
        <w:rPr>
          <w:b/>
          <w:color w:val="1C2D54"/>
          <w:sz w:val="32"/>
        </w:rPr>
        <w:t>Paket D — Maintenance &amp; SLA 6 Bulan (Opsional)</w:t>
      </w:r>
    </w:p>
    <w:tbl>
      <w:tblPr>
        <w:tblStyle w:val="LightGrid-Accent1"/>
        <w:tblW w:type="auto" w:w="0"/>
        <w:tblLook w:firstColumn="1" w:firstRow="1" w:lastColumn="0" w:lastRow="0" w:noHBand="0" w:noVBand="1" w:val="04A0"/>
      </w:tblPr>
      <w:tblGrid>
        <w:gridCol w:w="2835"/>
        <w:gridCol w:w="6236"/>
      </w:tblGrid>
      <w:tr>
        <w:tc>
          <w:tcPr>
            <w:tcW w:type="dxa" w:w="4844"/>
            <w:shd w:val="clear" w:color="auto" w:fill="1C2D54"/>
          </w:tcPr>
          <w:p>
            <w:r>
              <w:rPr>
                <w:b/>
                <w:color w:val="FFFFFF"/>
              </w:rPr>
              <w:t>Kode Paket</w:t>
            </w:r>
          </w:p>
        </w:tc>
        <w:tc>
          <w:tcPr>
            <w:tcW w:type="dxa" w:w="4844"/>
          </w:tcPr>
          <w:p>
            <w:r>
              <w:t>D</w:t>
            </w:r>
          </w:p>
        </w:tc>
      </w:tr>
      <w:tr>
        <w:tc>
          <w:tcPr>
            <w:tcW w:type="dxa" w:w="4844"/>
            <w:shd w:val="clear" w:color="auto" w:fill="1C2D54"/>
          </w:tcPr>
          <w:p>
            <w:r>
              <w:rPr>
                <w:b/>
                <w:color w:val="FFFFFF"/>
              </w:rPr>
              <w:t>Nama Paket</w:t>
            </w:r>
          </w:p>
        </w:tc>
        <w:tc>
          <w:tcPr>
            <w:tcW w:type="dxa" w:w="4844"/>
          </w:tcPr>
          <w:p>
            <w:r>
              <w:t>Maintenance &amp; Support 6 Bulan</w:t>
            </w:r>
          </w:p>
        </w:tc>
      </w:tr>
      <w:tr>
        <w:tc>
          <w:tcPr>
            <w:tcW w:type="dxa" w:w="9688"/>
            <w:gridSpan w:val="2"/>
            <w:shd w:val="clear" w:color="auto" w:fill="C9A227"/>
          </w:tcPr>
          <w:p>
            <w:r>
              <w:rPr>
                <w:b/>
                <w:color w:val="FFFFFF"/>
              </w:rPr>
              <w:t>Deliverable &amp; Fitur Tercakup</w:t>
            </w:r>
          </w:p>
        </w:tc>
      </w:tr>
      <w:tr>
        <w:tc>
          <w:tcPr>
            <w:tcW w:type="dxa" w:w="4844"/>
            <w:shd w:val="clear" w:color="auto" w:fill="E8ECEF"/>
          </w:tcPr>
          <w:p>
            <w:r>
              <w:rPr>
                <w:b/>
                <w:color w:val="1C2D54"/>
              </w:rPr>
              <w:t>D.1</w:t>
            </w:r>
          </w:p>
        </w:tc>
        <w:tc>
          <w:tcPr>
            <w:tcW w:type="dxa" w:w="4844"/>
          </w:tcPr>
          <w:p>
            <w:r>
              <w:t>Bug-fix unlimited untuk defect spatial stack.</w:t>
            </w:r>
          </w:p>
        </w:tc>
      </w:tr>
      <w:tr>
        <w:tc>
          <w:tcPr>
            <w:tcW w:type="dxa" w:w="4844"/>
            <w:shd w:val="clear" w:color="auto" w:fill="E8ECEF"/>
          </w:tcPr>
          <w:p>
            <w:r>
              <w:rPr>
                <w:b/>
                <w:color w:val="1C2D54"/>
              </w:rPr>
              <w:t>D.2</w:t>
            </w:r>
          </w:p>
        </w:tc>
        <w:tc>
          <w:tcPr>
            <w:tcW w:type="dxa" w:w="4844"/>
          </w:tcPr>
          <w:p>
            <w:r>
              <w:t>Performance regression monitoring bulanan.</w:t>
            </w:r>
          </w:p>
        </w:tc>
      </w:tr>
      <w:tr>
        <w:tc>
          <w:tcPr>
            <w:tcW w:type="dxa" w:w="4844"/>
            <w:shd w:val="clear" w:color="auto" w:fill="E8ECEF"/>
          </w:tcPr>
          <w:p>
            <w:r>
              <w:rPr>
                <w:b/>
                <w:color w:val="1C2D54"/>
              </w:rPr>
              <w:t>D.3</w:t>
            </w:r>
          </w:p>
        </w:tc>
        <w:tc>
          <w:tcPr>
            <w:tcW w:type="dxa" w:w="4844"/>
          </w:tcPr>
          <w:p>
            <w:r>
              <w:t>Cache + prewarm health check.</w:t>
            </w:r>
          </w:p>
        </w:tc>
      </w:tr>
      <w:tr>
        <w:tc>
          <w:tcPr>
            <w:tcW w:type="dxa" w:w="4844"/>
            <w:shd w:val="clear" w:color="auto" w:fill="E8ECEF"/>
          </w:tcPr>
          <w:p>
            <w:r>
              <w:rPr>
                <w:b/>
                <w:color w:val="1C2D54"/>
              </w:rPr>
              <w:t>D.4</w:t>
            </w:r>
          </w:p>
        </w:tc>
        <w:tc>
          <w:tcPr>
            <w:tcW w:type="dxa" w:w="4844"/>
          </w:tcPr>
          <w:p>
            <w:r>
              <w:t>Response time 24 jam untuk issue blocker.</w:t>
            </w:r>
          </w:p>
        </w:tc>
      </w:tr>
    </w:tbl>
    <w:p/>
    <w:p>
      <w:r>
        <w:br w:type="page"/>
      </w:r>
    </w:p>
    <w:p>
      <w:r>
        <w:rPr>
          <w:b/>
          <w:color w:val="1C2D54"/>
          <w:sz w:val="44"/>
        </w:rPr>
        <w:t>5. INVESTASI &amp; PEMBAYARAN</w:t>
      </w:r>
    </w:p>
    <w:p>
      <w:pPr>
        <w:spacing w:after="120"/>
      </w:pPr>
      <w:r>
        <w:rPr>
          <w:b w:val="0"/>
          <w:i/>
          <w:color w:val="5A5A5A"/>
          <w:sz w:val="22"/>
        </w:rPr>
        <w:t>Setelah melihat output, outcome, dan potensi PAD, berikut rincian investasi yang dibutuhkan:</w:t>
      </w:r>
    </w:p>
    <w:p/>
    <w:tbl>
      <w:tblPr>
        <w:tblStyle w:val="LightGrid-Accent1"/>
        <w:tblW w:type="auto" w:w="0"/>
        <w:tblLook w:firstColumn="1" w:firstRow="1" w:lastColumn="0" w:lastRow="0" w:noHBand="0" w:noVBand="1" w:val="04A0"/>
      </w:tblPr>
      <w:tblGrid>
        <w:gridCol w:w="4844"/>
        <w:gridCol w:w="4844"/>
      </w:tblGrid>
      <w:tr>
        <w:tc>
          <w:tcPr>
            <w:tcW w:type="dxa" w:w="4844"/>
            <w:shd w:val="clear" w:color="auto" w:fill="28A745"/>
          </w:tcPr>
          <w:p>
            <w:r>
              <w:rPr>
                <w:b/>
                <w:color w:val="FFFFFF"/>
                <w:sz w:val="26"/>
              </w:rPr>
              <w:t>Potensi PAD (realistis 10%)</w:t>
            </w:r>
          </w:p>
        </w:tc>
        <w:tc>
          <w:tcPr>
            <w:tcW w:type="dxa" w:w="4844"/>
            <w:shd w:val="clear" w:color="auto" w:fill="28A745"/>
          </w:tcPr>
          <w:p>
            <w:r>
              <w:rPr>
                <w:b/>
                <w:color w:val="FFFFFF"/>
                <w:sz w:val="26"/>
              </w:rPr>
              <w:t>Rp 383,8 miliar</w:t>
            </w:r>
          </w:p>
        </w:tc>
      </w:tr>
      <w:tr>
        <w:tc>
          <w:tcPr>
            <w:tcW w:type="dxa" w:w="4844"/>
            <w:shd w:val="clear" w:color="auto" w:fill="1C2D54"/>
          </w:tcPr>
          <w:p>
            <w:r>
              <w:rPr>
                <w:b/>
                <w:color w:val="FFFFFF"/>
                <w:sz w:val="26"/>
              </w:rPr>
              <w:t>Biaya SIPERA (One-Time)</w:t>
            </w:r>
          </w:p>
        </w:tc>
        <w:tc>
          <w:tcPr>
            <w:tcW w:type="dxa" w:w="4844"/>
            <w:shd w:val="clear" w:color="auto" w:fill="1C2D54"/>
          </w:tcPr>
          <w:p>
            <w:r>
              <w:rPr>
                <w:b/>
                <w:color w:val="FFFFFF"/>
                <w:sz w:val="26"/>
              </w:rPr>
              <w:t>Rp 220.000.000</w:t>
            </w:r>
          </w:p>
        </w:tc>
      </w:tr>
    </w:tbl>
    <w:p/>
    <w:p>
      <w:pPr>
        <w:spacing w:after="120"/>
        <w:jc w:val="center"/>
      </w:pPr>
      <w:r>
        <w:rPr>
          <w:b/>
          <w:i w:val="0"/>
          <w:color w:val="28A745"/>
          <w:sz w:val="24"/>
        </w:rPr>
        <w:t>ROI direct &gt;2.800× · Break-even: cukup 10 PBG baru ditertibkan dari 360.000 bangunan terdeteksi.</w:t>
      </w:r>
    </w:p>
    <w:p/>
    <w:p>
      <w:r>
        <w:rPr>
          <w:b/>
          <w:color w:val="1C2D54"/>
          <w:sz w:val="32"/>
        </w:rPr>
        <w:t>Rincian Harga per Paket</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Paket</w:t>
            </w:r>
          </w:p>
        </w:tc>
        <w:tc>
          <w:tcPr>
            <w:tcW w:type="dxa" w:w="3230"/>
            <w:shd w:val="clear" w:color="auto" w:fill="1C2D54"/>
          </w:tcPr>
          <w:p>
            <w:r>
              <w:rPr>
                <w:b/>
                <w:color w:val="FFFFFF"/>
              </w:rPr>
              <w:t>Deskripsi</w:t>
            </w:r>
          </w:p>
        </w:tc>
        <w:tc>
          <w:tcPr>
            <w:tcW w:type="dxa" w:w="3230"/>
            <w:shd w:val="clear" w:color="auto" w:fill="1C2D54"/>
          </w:tcPr>
          <w:p>
            <w:r>
              <w:rPr>
                <w:b/>
                <w:color w:val="FFFFFF"/>
              </w:rPr>
              <w:t>Harga</w:t>
            </w:r>
          </w:p>
        </w:tc>
      </w:tr>
      <w:tr>
        <w:tc>
          <w:tcPr>
            <w:tcW w:type="dxa" w:w="3230"/>
          </w:tcPr>
          <w:p>
            <w:r>
              <w:t>A</w:t>
            </w:r>
          </w:p>
        </w:tc>
        <w:tc>
          <w:tcPr>
            <w:tcW w:type="dxa" w:w="3230"/>
          </w:tcPr>
          <w:p>
            <w:r>
              <w:t>Foundation Upgrade: Migration &amp; Spatial Stack</w:t>
            </w:r>
          </w:p>
        </w:tc>
        <w:tc>
          <w:tcPr>
            <w:tcW w:type="dxa" w:w="3230"/>
          </w:tcPr>
          <w:p>
            <w:r>
              <w:t>Rp 50.000.000</w:t>
            </w:r>
          </w:p>
        </w:tc>
      </w:tr>
      <w:tr>
        <w:tc>
          <w:tcPr>
            <w:tcW w:type="dxa" w:w="3230"/>
          </w:tcPr>
          <w:p>
            <w:r>
              <w:t>B</w:t>
            </w:r>
          </w:p>
        </w:tc>
        <w:tc>
          <w:tcPr>
            <w:tcW w:type="dxa" w:w="3230"/>
          </w:tcPr>
          <w:p>
            <w:r>
              <w:t>Geospatial Engineering Platform (7 sub-paket)</w:t>
            </w:r>
          </w:p>
        </w:tc>
        <w:tc>
          <w:tcPr>
            <w:tcW w:type="dxa" w:w="3230"/>
          </w:tcPr>
          <w:p>
            <w:r>
              <w:t>Rp 150.000.000</w:t>
            </w:r>
          </w:p>
        </w:tc>
      </w:tr>
      <w:tr>
        <w:tc>
          <w:tcPr>
            <w:tcW w:type="dxa" w:w="3230"/>
          </w:tcPr>
          <w:p>
            <w:r>
              <w:t>C</w:t>
            </w:r>
          </w:p>
        </w:tc>
        <w:tc>
          <w:tcPr>
            <w:tcW w:type="dxa" w:w="3230"/>
          </w:tcPr>
          <w:p>
            <w:r>
              <w:t>Multi-Kabupaten Templating (opsional)</w:t>
            </w:r>
          </w:p>
        </w:tc>
        <w:tc>
          <w:tcPr>
            <w:tcW w:type="dxa" w:w="3230"/>
          </w:tcPr>
          <w:p>
            <w:r>
              <w:t>Rp 12.000.000</w:t>
            </w:r>
          </w:p>
        </w:tc>
      </w:tr>
      <w:tr>
        <w:tc>
          <w:tcPr>
            <w:tcW w:type="dxa" w:w="3230"/>
          </w:tcPr>
          <w:p>
            <w:r>
              <w:t>D</w:t>
            </w:r>
          </w:p>
        </w:tc>
        <w:tc>
          <w:tcPr>
            <w:tcW w:type="dxa" w:w="3230"/>
          </w:tcPr>
          <w:p>
            <w:r>
              <w:t>Maintenance &amp; SLA 6 Bulan (opsional)</w:t>
            </w:r>
          </w:p>
        </w:tc>
        <w:tc>
          <w:tcPr>
            <w:tcW w:type="dxa" w:w="3230"/>
          </w:tcPr>
          <w:p>
            <w:r>
              <w:t>Rp 8.000.000</w:t>
            </w:r>
          </w:p>
        </w:tc>
      </w:tr>
      <w:tr>
        <w:tc>
          <w:tcPr>
            <w:tcW w:type="dxa" w:w="3230"/>
            <w:shd w:val="clear" w:color="auto" w:fill="C9A227"/>
          </w:tcPr>
          <w:p>
            <w:r>
              <w:rPr>
                <w:b/>
              </w:rPr>
            </w:r>
          </w:p>
        </w:tc>
        <w:tc>
          <w:tcPr>
            <w:tcW w:type="dxa" w:w="3230"/>
            <w:shd w:val="clear" w:color="auto" w:fill="C9A227"/>
          </w:tcPr>
          <w:p>
            <w:r>
              <w:rPr>
                <w:b/>
              </w:rPr>
              <w:t>TOTAL (A+B+C+D)</w:t>
            </w:r>
          </w:p>
        </w:tc>
        <w:tc>
          <w:tcPr>
            <w:tcW w:type="dxa" w:w="3230"/>
            <w:shd w:val="clear" w:color="auto" w:fill="C9A227"/>
          </w:tcPr>
          <w:p>
            <w:r>
              <w:rPr>
                <w:b/>
              </w:rPr>
              <w:t>Rp 220.000.000</w:t>
            </w:r>
          </w:p>
        </w:tc>
      </w:tr>
    </w:tbl>
    <w:p/>
    <w:p>
      <w:r>
        <w:rPr>
          <w:b/>
          <w:color w:val="1C2D54"/>
          <w:sz w:val="32"/>
        </w:rPr>
        <w:t>Term Pembayaran</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Milestone</w:t>
            </w:r>
          </w:p>
        </w:tc>
        <w:tc>
          <w:tcPr>
            <w:tcW w:type="dxa" w:w="3230"/>
            <w:shd w:val="clear" w:color="auto" w:fill="1C2D54"/>
          </w:tcPr>
          <w:p>
            <w:r>
              <w:rPr>
                <w:b/>
                <w:color w:val="FFFFFF"/>
              </w:rPr>
              <w:t>%</w:t>
            </w:r>
          </w:p>
        </w:tc>
        <w:tc>
          <w:tcPr>
            <w:tcW w:type="dxa" w:w="3230"/>
            <w:shd w:val="clear" w:color="auto" w:fill="1C2D54"/>
          </w:tcPr>
          <w:p>
            <w:r>
              <w:rPr>
                <w:b/>
                <w:color w:val="FFFFFF"/>
              </w:rPr>
              <w:t>Nominal</w:t>
            </w:r>
          </w:p>
        </w:tc>
      </w:tr>
      <w:tr>
        <w:tc>
          <w:tcPr>
            <w:tcW w:type="dxa" w:w="3230"/>
          </w:tcPr>
          <w:p>
            <w:r>
              <w:t>Down Payment (kickoff)</w:t>
            </w:r>
          </w:p>
        </w:tc>
        <w:tc>
          <w:tcPr>
            <w:tcW w:type="dxa" w:w="3230"/>
          </w:tcPr>
          <w:p>
            <w:r>
              <w:t>30%</w:t>
            </w:r>
          </w:p>
        </w:tc>
        <w:tc>
          <w:tcPr>
            <w:tcW w:type="dxa" w:w="3230"/>
          </w:tcPr>
          <w:p>
            <w:r>
              <w:t>Rp 66.000.000</w:t>
            </w:r>
          </w:p>
        </w:tc>
      </w:tr>
      <w:tr>
        <w:tc>
          <w:tcPr>
            <w:tcW w:type="dxa" w:w="3230"/>
          </w:tcPr>
          <w:p>
            <w:r>
              <w:t>Paket A selesai (PostGIS+Redis live)</w:t>
            </w:r>
          </w:p>
        </w:tc>
        <w:tc>
          <w:tcPr>
            <w:tcW w:type="dxa" w:w="3230"/>
          </w:tcPr>
          <w:p>
            <w:r>
              <w:t>20%</w:t>
            </w:r>
          </w:p>
        </w:tc>
        <w:tc>
          <w:tcPr>
            <w:tcW w:type="dxa" w:w="3230"/>
          </w:tcPr>
          <w:p>
            <w:r>
              <w:t>Rp 44.000.000</w:t>
            </w:r>
          </w:p>
        </w:tc>
      </w:tr>
      <w:tr>
        <w:tc>
          <w:tcPr>
            <w:tcW w:type="dxa" w:w="3230"/>
          </w:tcPr>
          <w:p>
            <w:r>
              <w:t>Paket B.1-B.4 selesai (MVT + cluster live)</w:t>
            </w:r>
          </w:p>
        </w:tc>
        <w:tc>
          <w:tcPr>
            <w:tcW w:type="dxa" w:w="3230"/>
          </w:tcPr>
          <w:p>
            <w:r>
              <w:t>30%</w:t>
            </w:r>
          </w:p>
        </w:tc>
        <w:tc>
          <w:tcPr>
            <w:tcW w:type="dxa" w:w="3230"/>
          </w:tcPr>
          <w:p>
            <w:r>
              <w:t>Rp 66.000.000</w:t>
            </w:r>
          </w:p>
        </w:tc>
      </w:tr>
      <w:tr>
        <w:tc>
          <w:tcPr>
            <w:tcW w:type="dxa" w:w="3230"/>
          </w:tcPr>
          <w:p>
            <w:r>
              <w:t>Handover + UAT + benchmark report</w:t>
            </w:r>
          </w:p>
        </w:tc>
        <w:tc>
          <w:tcPr>
            <w:tcW w:type="dxa" w:w="3230"/>
          </w:tcPr>
          <w:p>
            <w:r>
              <w:t>20%</w:t>
            </w:r>
          </w:p>
        </w:tc>
        <w:tc>
          <w:tcPr>
            <w:tcW w:type="dxa" w:w="3230"/>
          </w:tcPr>
          <w:p>
            <w:r>
              <w:t>Rp 44.000.000</w:t>
            </w:r>
          </w:p>
        </w:tc>
      </w:tr>
    </w:tbl>
    <w:p/>
    <w:p>
      <w:pPr>
        <w:spacing w:after="120"/>
      </w:pPr>
      <w:r>
        <w:rPr>
          <w:b/>
          <w:i w:val="0"/>
          <w:sz w:val="22"/>
        </w:rPr>
        <w:t>Catatan:</w:t>
      </w:r>
    </w:p>
    <w:p>
      <w:pPr>
        <w:pStyle w:val="ListBullet"/>
      </w:pPr>
      <w:r>
        <w:t>Harga sudah termasuk source code + dokumentasi spatial stack + runbook deploy.</w:t>
      </w:r>
    </w:p>
    <w:p>
      <w:pPr>
        <w:pStyle w:val="ListBullet"/>
      </w:pPr>
      <w:r>
        <w:t>Stand-alone proposal — bisa di-bundle dengan proposal Sistem Monitoring Satelit (Rp 150jt) dengan diskon sinergi 5-10jt.</w:t>
      </w:r>
    </w:p>
    <w:p>
      <w:pPr>
        <w:pStyle w:val="ListBullet"/>
      </w:pPr>
      <w:r>
        <w:t>Deployment di infrastruktur klien (tidak include biaya server/domain).</w:t>
      </w:r>
    </w:p>
    <w:p>
      <w:pPr>
        <w:pStyle w:val="ListBullet"/>
      </w:pPr>
      <w:r>
        <w:t>Garansi bug-fix 60 hari setelah handover untuk spatial stack.</w:t>
      </w:r>
    </w:p>
    <w:p>
      <w:pPr>
        <w:pStyle w:val="ListBullet"/>
      </w:pPr>
      <w:r>
        <w:t>Penawaran berlaku 30 hari sejak tanggal diterbitkan.</w:t>
      </w:r>
    </w:p>
    <w:p>
      <w:r>
        <w:br w:type="page"/>
      </w:r>
    </w:p>
    <w:p>
      <w:r>
        <w:rPr>
          <w:b/>
          <w:color w:val="1C2D54"/>
          <w:sz w:val="44"/>
        </w:rPr>
        <w:t>6. TIMELINE</w:t>
      </w:r>
    </w:p>
    <w:tbl>
      <w:tblPr>
        <w:tblStyle w:val="LightGrid-Accent1"/>
        <w:tblW w:type="auto" w:w="0"/>
        <w:tblLook w:firstColumn="1" w:firstRow="1" w:lastColumn="0" w:lastRow="0" w:noHBand="0" w:noVBand="1" w:val="04A0"/>
      </w:tblPr>
      <w:tblGrid>
        <w:gridCol w:w="3230"/>
        <w:gridCol w:w="3230"/>
        <w:gridCol w:w="3230"/>
      </w:tblGrid>
      <w:tr>
        <w:tc>
          <w:tcPr>
            <w:tcW w:type="dxa" w:w="3230"/>
            <w:shd w:val="clear" w:color="auto" w:fill="1C2D54"/>
          </w:tcPr>
          <w:p>
            <w:r>
              <w:rPr>
                <w:b/>
                <w:color w:val="FFFFFF"/>
              </w:rPr>
              <w:t>Fase</w:t>
            </w:r>
          </w:p>
        </w:tc>
        <w:tc>
          <w:tcPr>
            <w:tcW w:type="dxa" w:w="3230"/>
            <w:shd w:val="clear" w:color="auto" w:fill="1C2D54"/>
          </w:tcPr>
          <w:p>
            <w:r>
              <w:rPr>
                <w:b/>
                <w:color w:val="FFFFFF"/>
              </w:rPr>
              <w:t>Minggu</w:t>
            </w:r>
          </w:p>
        </w:tc>
        <w:tc>
          <w:tcPr>
            <w:tcW w:type="dxa" w:w="3230"/>
            <w:shd w:val="clear" w:color="auto" w:fill="1C2D54"/>
          </w:tcPr>
          <w:p>
            <w:r>
              <w:rPr>
                <w:b/>
                <w:color w:val="FFFFFF"/>
              </w:rPr>
              <w:t>Deliverable</w:t>
            </w:r>
          </w:p>
        </w:tc>
      </w:tr>
      <w:tr>
        <w:tc>
          <w:tcPr>
            <w:tcW w:type="dxa" w:w="3230"/>
          </w:tcPr>
          <w:p>
            <w:r>
              <w:t>Foundation Upgrade (PostGIS + Redis)</w:t>
            </w:r>
          </w:p>
        </w:tc>
        <w:tc>
          <w:tcPr>
            <w:tcW w:type="dxa" w:w="3230"/>
          </w:tcPr>
          <w:p>
            <w:r>
              <w:t>1</w:t>
            </w:r>
          </w:p>
        </w:tc>
        <w:tc>
          <w:tcPr>
            <w:tcW w:type="dxa" w:w="3230"/>
          </w:tcPr>
          <w:p>
            <w:r>
              <w:t>Spatial DB + cache layer live.</w:t>
            </w:r>
          </w:p>
        </w:tc>
      </w:tr>
      <w:tr>
        <w:tc>
          <w:tcPr>
            <w:tcW w:type="dxa" w:w="3230"/>
          </w:tcPr>
          <w:p>
            <w:r>
              <w:t>Data Pipeline 4M (Google + matching)</w:t>
            </w:r>
          </w:p>
        </w:tc>
        <w:tc>
          <w:tcPr>
            <w:tcW w:type="dxa" w:w="3230"/>
          </w:tcPr>
          <w:p>
            <w:r>
              <w:t>2</w:t>
            </w:r>
          </w:p>
        </w:tc>
        <w:tc>
          <w:tcPr>
            <w:tcW w:type="dxa" w:w="3230"/>
          </w:tcPr>
          <w:p>
            <w:r>
              <w:t>4,07M row terklasifikasi + indexed.</w:t>
            </w:r>
          </w:p>
        </w:tc>
      </w:tr>
      <w:tr>
        <w:tc>
          <w:tcPr>
            <w:tcW w:type="dxa" w:w="3230"/>
          </w:tcPr>
          <w:p>
            <w:r>
              <w:t>Vector Tile Server (Martin MVT)</w:t>
            </w:r>
          </w:p>
        </w:tc>
        <w:tc>
          <w:tcPr>
            <w:tcW w:type="dxa" w:w="3230"/>
          </w:tcPr>
          <w:p>
            <w:r>
              <w:t>3</w:t>
            </w:r>
          </w:p>
        </w:tc>
        <w:tc>
          <w:tcPr>
            <w:tcW w:type="dxa" w:w="3230"/>
          </w:tcPr>
          <w:p>
            <w:r>
              <w:t>MVT endpoint live + Leaflet.VectorGrid.</w:t>
            </w:r>
          </w:p>
        </w:tc>
      </w:tr>
      <w:tr>
        <w:tc>
          <w:tcPr>
            <w:tcW w:type="dxa" w:w="3230"/>
          </w:tcPr>
          <w:p>
            <w:r>
              <w:t>Server-Side Clustering</w:t>
            </w:r>
          </w:p>
        </w:tc>
        <w:tc>
          <w:tcPr>
            <w:tcW w:type="dxa" w:w="3230"/>
          </w:tcPr>
          <w:p>
            <w:r>
              <w:t>4</w:t>
            </w:r>
          </w:p>
        </w:tc>
        <w:tc>
          <w:tcPr>
            <w:tcW w:type="dxa" w:w="3230"/>
          </w:tcPr>
          <w:p>
            <w:r>
              <w:t>/clusters endpoint + frontend mode-switch.</w:t>
            </w:r>
          </w:p>
        </w:tc>
      </w:tr>
      <w:tr>
        <w:tc>
          <w:tcPr>
            <w:tcW w:type="dxa" w:w="3230"/>
          </w:tcPr>
          <w:p>
            <w:r>
              <w:t>Filter-Gated + Lazy Rendering</w:t>
            </w:r>
          </w:p>
        </w:tc>
        <w:tc>
          <w:tcPr>
            <w:tcW w:type="dxa" w:w="3230"/>
          </w:tcPr>
          <w:p>
            <w:r>
              <w:t>5</w:t>
            </w:r>
          </w:p>
        </w:tc>
        <w:tc>
          <w:tcPr>
            <w:tcW w:type="dxa" w:w="3230"/>
          </w:tcPr>
          <w:p>
            <w:r>
              <w:t>Choropleth + lazy UX.</w:t>
            </w:r>
          </w:p>
        </w:tc>
      </w:tr>
      <w:tr>
        <w:tc>
          <w:tcPr>
            <w:tcW w:type="dxa" w:w="3230"/>
          </w:tcPr>
          <w:p>
            <w:r>
              <w:t>Performance Engineering 13 ranks</w:t>
            </w:r>
          </w:p>
        </w:tc>
        <w:tc>
          <w:tcPr>
            <w:tcW w:type="dxa" w:w="3230"/>
          </w:tcPr>
          <w:p>
            <w:r>
              <w:t>6</w:t>
            </w:r>
          </w:p>
        </w:tc>
        <w:tc>
          <w:tcPr>
            <w:tcW w:type="dxa" w:w="3230"/>
          </w:tcPr>
          <w:p>
            <w:r>
              <w:t>Load test report + before/after benchmark.</w:t>
            </w:r>
          </w:p>
        </w:tc>
      </w:tr>
      <w:tr>
        <w:tc>
          <w:tcPr>
            <w:tcW w:type="dxa" w:w="3230"/>
          </w:tcPr>
          <w:p>
            <w:r>
              <w:t>Multi-Kab + UAT + Handover</w:t>
            </w:r>
          </w:p>
        </w:tc>
        <w:tc>
          <w:tcPr>
            <w:tcW w:type="dxa" w:w="3230"/>
          </w:tcPr>
          <w:p>
            <w:r>
              <w:t>7</w:t>
            </w:r>
          </w:p>
        </w:tc>
        <w:tc>
          <w:tcPr>
            <w:tcW w:type="dxa" w:w="3230"/>
          </w:tcPr>
          <w:p>
            <w:r>
              <w:t>Template deploy + dokumentasi + sign-off.</w:t>
            </w:r>
          </w:p>
        </w:tc>
      </w:tr>
    </w:tbl>
    <w:p/>
    <w:p>
      <w:pPr>
        <w:spacing w:after="120"/>
      </w:pPr>
      <w:r>
        <w:rPr>
          <w:b/>
          <w:i w:val="0"/>
          <w:color w:val="1C2D54"/>
          <w:sz w:val="22"/>
        </w:rPr>
        <w:t>Total durasi: 7 minggu (~1,75 bulan).</w:t>
      </w:r>
    </w:p>
    <w:p>
      <w:pPr>
        <w:spacing w:after="120"/>
      </w:pPr>
      <w:r>
        <w:rPr>
          <w:b w:val="0"/>
          <w:i/>
          <w:color w:val="5A5A5A"/>
          <w:sz w:val="20"/>
        </w:rPr>
        <w:t>Catatan: Lebih singkat dari proposal satelit (11 minggu) karena infrastruktur dasar sudah tersedia dari proyek pendahulu.</w:t>
      </w:r>
    </w:p>
    <w:p>
      <w:r>
        <w:br w:type="page"/>
      </w:r>
    </w:p>
    <w:p>
      <w:r>
        <w:rPr>
          <w:b/>
          <w:color w:val="1C2D54"/>
          <w:sz w:val="44"/>
        </w:rPr>
        <w:t>7. PENUTUP</w:t>
      </w:r>
    </w:p>
    <w:p>
      <w:pPr>
        <w:spacing w:after="120"/>
      </w:pPr>
      <w:r>
        <w:rPr>
          <w:b w:val="0"/>
          <w:i w:val="0"/>
          <w:sz w:val="22"/>
        </w:rPr>
        <w:t>Proposal SIPERA menawarkan upgrade fondasi geospasial dari MVP enforcement (proposal satelit) ke platform production multi-kabupaten yang scalable. Dengan investasi Rp 110 juta, potensi tambahan PAD direct Kab. Bandung mencapai Rp 281 miliar (skenario realistis 10%) — ROI minimum 2.800× pada skenario realistis.</w:t>
      </w:r>
    </w:p>
    <w:p/>
    <w:p>
      <w:pPr>
        <w:spacing w:after="120"/>
      </w:pPr>
      <w:r>
        <w:rPr>
          <w:b w:val="0"/>
          <w:i w:val="0"/>
          <w:sz w:val="22"/>
        </w:rPr>
        <w:t>SIPERA bisa berdiri sendiri sebagai produk baru, atau di-bundle dengan proposal Sistem Monitoring Satelit sebagai paket lengkap. Output paket ini juga reusable untuk produk turunan: Sistem Monitoring Perumahan Subsidi, Slum Mapping, Tax Mapping, dan inisiatif geospasial DPUTR lainnya.</w:t>
      </w:r>
    </w:p>
    <w:p/>
    <w:p/>
    <w:p>
      <w:pPr>
        <w:spacing w:after="120"/>
        <w:jc w:val="center"/>
      </w:pPr>
      <w:r>
        <w:rPr>
          <w:b w:val="0"/>
          <w:i/>
          <w:sz w:val="22"/>
        </w:rPr>
        <w:t>Terima kasih atas kesempatan ini.</w:t>
      </w:r>
    </w:p>
    <w:p/>
    <w:p/>
    <w:tbl>
      <w:tblPr>
        <w:tblW w:type="auto" w:w="0"/>
        <w:tblLayout w:type="fixed"/>
        <w:tblLook w:firstColumn="1" w:firstRow="1" w:lastColumn="0" w:lastRow="0" w:noHBand="0" w:noVBand="1" w:val="04A0"/>
      </w:tblPr>
      <w:tblGrid>
        <w:gridCol w:w="4535"/>
        <w:gridCol w:w="4535"/>
      </w:tblGrid>
      <w:tr>
        <w:tc>
          <w:tcPr>
            <w:tcW w:type="dxa" w:w="4844"/>
          </w:tcPr>
          <w:p>
            <w:r>
              <w:t>Penanggung Jawab,</w:t>
              <w:br/>
              <w:br/>
              <w:br/>
              <w:br/>
              <w:t>Fauzan Iraldi</w:t>
              <w:br/>
              <w:br/>
              <w:br/>
              <w:t>Pelaksana,</w:t>
              <w:br/>
              <w:br/>
              <w:br/>
              <w:br/>
              <w:t>Nauval Zulfikar</w:t>
            </w:r>
          </w:p>
        </w:tc>
        <w:tc>
          <w:tcPr>
            <w:tcW w:type="dxa" w:w="4844"/>
          </w:tcPr>
          <w:p>
            <w:r>
              <w:t>DPUTR Kab. Bandung,</w:t>
              <w:br/>
              <w:br/>
              <w:br/>
              <w:br/>
              <w:t>__________________________</w:t>
            </w:r>
          </w:p>
        </w:tc>
      </w:tr>
    </w:tbl>
    <w:sectPr w:rsidR="00FC693F" w:rsidRPr="0006063C" w:rsidSect="00034616">
      <w:pgSz w:w="12240" w:h="15840"/>
      <w:pgMar w:top="1247" w:right="1134"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