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633DC0F8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0.3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C7292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Pr="00DE19C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Pr="00DE19C1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Kliensprogramra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Pr="00DE19C1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Kliensprogram fejlesztőkre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Pr="00DE19C1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Kliensprogram felhasználókra vonatkozó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C7292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Pr="00DE19C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Pr="00DE19C1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Pr="00DE19C1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C7292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Pr="00DE19C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Pr="00DE19C1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Regisztráció áttekintő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Pr="00DE19C1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Token igénylés és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Pr="00DE19C1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Nonce beváltás, felhasználó regisztráció aktiválás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Pr="00DE19C1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Fájlfeltöltés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C7292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Pr="00DE19C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Pr="00DE19C1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Általános formátumok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Pr="00DE19C1">
              <w:rPr>
                <w:rStyle w:val="Hiperhivatkozs"/>
                <w:i/>
                <w:iCs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Aláírás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Pr="00DE19C1">
              <w:rPr>
                <w:rStyle w:val="Hiperhivatkozs"/>
                <w:i/>
                <w:iCs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Pr="00DE19C1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Pr="00DE19C1">
              <w:rPr>
                <w:rStyle w:val="Hiperhivatkozs"/>
                <w:i/>
                <w:i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Pr="00DE19C1">
              <w:rPr>
                <w:rStyle w:val="Hiperhivatkozs"/>
                <w:i/>
                <w:iCs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Státuszkódok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Pr="00DE19C1">
              <w:rPr>
                <w:rStyle w:val="Hiperhivatkozs"/>
                <w:i/>
                <w:iCs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Méretkorlát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Pr="00DE19C1">
              <w:rPr>
                <w:rStyle w:val="Hiperhivatkozs"/>
                <w:i/>
                <w:iCs/>
                <w:noProof/>
              </w:rPr>
              <w:t>5.2.4.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Válaszidő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Pr="00DE19C1">
              <w:rPr>
                <w:rStyle w:val="Hiperhivatkozs"/>
                <w:i/>
                <w:iCs/>
                <w:noProof/>
              </w:rPr>
              <w:t>5.2.5.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Szerveróra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Pr="00DE19C1">
              <w:rPr>
                <w:rStyle w:val="Hiperhivatkozs"/>
                <w:i/>
                <w:iCs/>
                <w:noProof/>
              </w:rPr>
              <w:t>5.2.6.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Pr="00DE19C1">
              <w:rPr>
                <w:rStyle w:val="Hiperhivatkozs"/>
                <w:i/>
                <w:iCs/>
                <w:noProof/>
              </w:rPr>
              <w:t>5.2.7.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Pr="00DE19C1">
              <w:rPr>
                <w:rStyle w:val="Hiperhivatkozs"/>
                <w:i/>
                <w:iCs/>
                <w:noProof/>
              </w:rPr>
              <w:t>5.2.8.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Karakterkonverzió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Pr="00DE19C1">
              <w:rPr>
                <w:rStyle w:val="Hiperhivatkozs"/>
                <w:i/>
                <w:iCs/>
                <w:noProof/>
              </w:rPr>
              <w:t>5.2.9.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Forgalomkorlátozás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C7292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Pr="00DE19C1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Pr="00DE19C1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Pr="00DE19C1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Pr="00DE19C1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Pr="00DE19C1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Felhasználó regisztráció 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Pr="00DE19C1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Pr="00DE19C1">
              <w:rPr>
                <w:rStyle w:val="Hiperhivatkozs"/>
                <w:i/>
                <w:iCs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Pr="00DE19C1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Token 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Pr="00DE19C1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Pr="00DE19C1">
              <w:rPr>
                <w:rStyle w:val="Hiperhivatkozs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Fájltároló kezelés interfészei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Pr="00DE19C1">
              <w:rPr>
                <w:rStyle w:val="Hiperhivatkozs"/>
                <w:i/>
                <w:iCs/>
                <w:noProof/>
              </w:rPr>
              <w:t>6.4.1.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Pr="00DE19C1">
              <w:rPr>
                <w:rStyle w:val="Hiperhivatkozs"/>
                <w:i/>
                <w:iCs/>
                <w:noProof/>
              </w:rPr>
              <w:t>6.4.2.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C7292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Pr="00DE19C1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Pr="00DE19C1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Teszt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Pr="00DE19C1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Éles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Pr="00DE19C1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</w:rPr>
              <w:t>Definíciók elérhetősége: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C72924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Pr="00DE19C1">
              <w:rPr>
                <w:rStyle w:val="Hiperhivatkozs"/>
                <w:noProof/>
                <w:highlight w:val="yellow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  <w:highlight w:val="yellow"/>
              </w:rPr>
              <w:t>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Pr="00DE19C1">
              <w:rPr>
                <w:rStyle w:val="Hiperhivatkozs"/>
                <w:noProof/>
                <w:highlight w:val="yellow"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  <w:highlight w:val="yellow"/>
              </w:rPr>
              <w:t>Aktuális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Pr="00DE19C1">
              <w:rPr>
                <w:rStyle w:val="Hiperhivatkozs"/>
                <w:noProof/>
                <w:highlight w:val="yellow"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  <w:highlight w:val="yellow"/>
              </w:rPr>
              <w:t>Mintaalkalmazás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Pr="00DE19C1">
              <w:rPr>
                <w:rStyle w:val="Hiperhivatkozs"/>
                <w:noProof/>
                <w:highlight w:val="yellow"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  <w:highlight w:val="yellow"/>
              </w:rPr>
              <w:t>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Pr="00DE19C1">
              <w:rPr>
                <w:rStyle w:val="Hiperhivatkozs"/>
                <w:noProof/>
                <w:highlight w:val="yellow"/>
              </w:rPr>
              <w:t>8.4.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  <w:highlight w:val="yellow"/>
              </w:rPr>
              <w:t>Bemutató videók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C72924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Pr="00DE19C1">
              <w:rPr>
                <w:rStyle w:val="Hiperhivatkozs"/>
                <w:noProof/>
                <w:highlight w:val="yellow"/>
              </w:rPr>
              <w:t>8.5.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19C1">
              <w:rPr>
                <w:rStyle w:val="Hiperhivatkozs"/>
                <w:noProof/>
                <w:highlight w:val="yellow"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F58">
              <w:t>nonce</w:t>
            </w:r>
            <w:proofErr w:type="spellEnd"/>
            <w:r w:rsidRPr="00581F58">
              <w:t xml:space="preserve">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az aláírókulcs megszerzésére, és a sikeres cserét csak egy megbízható fél hajthatja végre, ehhez általában egy további titkot (pl.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az aláírókulcs ne kelljen kiadni megbízhatatlan „közvetítők” számára (pl. felhasználó); a közvetítő az aláírókulcs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</w:t>
      </w:r>
      <w:proofErr w:type="spellStart"/>
      <w:r>
        <w:t>key</w:t>
      </w:r>
      <w:proofErr w:type="spellEnd"/>
      <w:r>
        <w:t xml:space="preserve">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proofErr w:type="spellStart"/>
      <w:r>
        <w:lastRenderedPageBreak/>
        <w:t>Token</w:t>
      </w:r>
      <w:proofErr w:type="spellEnd"/>
      <w:r>
        <w:t xml:space="preserve">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proofErr w:type="spellStart"/>
      <w:r>
        <w:lastRenderedPageBreak/>
        <w:t>Nonce</w:t>
      </w:r>
      <w:proofErr w:type="spellEnd"/>
      <w:r>
        <w:t xml:space="preserve">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1793FD97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visszaküldi a fájl egyedi azonosítóját a kliensnek, és elkezdi a fájl vírusellenőrzését. A vírusellenőrzés hosszabb ideig is eltarthat, ezért nem küldi vissza azonnal az eredményt.</w:t>
      </w:r>
    </w:p>
    <w:p w14:paraId="23744D4B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6CCD9608" w:rsidR="009148C8" w:rsidRPr="008D2071" w:rsidRDefault="00460FDB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>
        <w:t>YYYYMMDDHHmmss</w:t>
      </w:r>
      <w:proofErr w:type="spellEnd"/>
      <w:r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proofErr w:type="spellStart"/>
      <w:r w:rsidR="00460FDB">
        <w:t>nonce</w:t>
      </w:r>
      <w:proofErr w:type="spellEnd"/>
      <w:r w:rsidR="00460FDB">
        <w:t xml:space="preserve"> beváltás</w:t>
      </w:r>
      <w:r>
        <w:t xml:space="preserve"> során előállt kulcs.</w:t>
      </w:r>
    </w:p>
    <w:p w14:paraId="78797731" w14:textId="25EF3F38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</w:t>
      </w:r>
      <w:proofErr w:type="spellStart"/>
      <w:r>
        <w:t>hash-elni</w:t>
      </w:r>
      <w:proofErr w:type="spellEnd"/>
      <w:r>
        <w:t xml:space="preserve">, majd </w:t>
      </w:r>
      <w:proofErr w:type="spellStart"/>
      <w:r>
        <w:t>nagybetűsíteni</w:t>
      </w:r>
      <w:proofErr w:type="spellEnd"/>
      <w:r>
        <w:t>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0235D274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>
        <w:t xml:space="preserve"> =</w:t>
      </w:r>
    </w:p>
    <w:p w14:paraId="62241B53" w14:textId="4DBD7681" w:rsidR="00691B54" w:rsidRPr="005256AC" w:rsidRDefault="256CC2DE" w:rsidP="256CC2DE">
      <w:pPr>
        <w:pStyle w:val="Listaszerbekezds"/>
        <w:jc w:val="both"/>
        <w:rPr>
          <w:caps/>
        </w:rPr>
      </w:pPr>
      <w:r w:rsidRPr="256CC2DE">
        <w:rPr>
          <w:caps/>
        </w:rPr>
        <w:t>2e81f124c0ee66be1e4cca1af72eb198b1a1c02ad1dffa0943a4fa8db0e440e8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</w:t>
      </w:r>
      <w:proofErr w:type="spellStart"/>
      <w:r>
        <w:t>pattern</w:t>
      </w:r>
      <w:proofErr w:type="spellEnd"/>
      <w:r>
        <w:t xml:space="preserve">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</w:t>
      </w:r>
      <w:proofErr w:type="spellStart"/>
      <w:r>
        <w:t>id</w:t>
      </w:r>
      <w:proofErr w:type="spellEnd"/>
      <w:r>
        <w:t xml:space="preserve">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Hlk166652056"/>
      <w:bookmarkStart w:id="48" w:name="_Toc177714926"/>
      <w:proofErr w:type="spellStart"/>
      <w:r w:rsidRPr="256CC2DE">
        <w:rPr>
          <w:i/>
          <w:iCs/>
          <w:sz w:val="24"/>
          <w:szCs w:val="24"/>
        </w:rPr>
        <w:t>Feljéc</w:t>
      </w:r>
      <w:bookmarkEnd w:id="48"/>
      <w:proofErr w:type="spellEnd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content-type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accept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bookmarkEnd w:id="47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 xml:space="preserve"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</w:t>
      </w:r>
      <w:proofErr w:type="spellStart"/>
      <w:r>
        <w:t>mappelve</w:t>
      </w:r>
      <w:proofErr w:type="spellEnd"/>
      <w:r>
        <w:t>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Bad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Unauthorized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Token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Forbidden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Role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Not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found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Entity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large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many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requests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Rate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limiter</w:t>
            </w:r>
            <w:proofErr w:type="spellEnd"/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Internal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server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error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Exception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 xml:space="preserve">Service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unavailable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Circuit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breaker</w:t>
            </w:r>
            <w:proofErr w:type="spellEnd"/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Gateway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 xml:space="preserve">A szerver jellemzően 200 </w:t>
      </w:r>
      <w:proofErr w:type="spellStart"/>
      <w:r>
        <w:t>ms</w:t>
      </w:r>
      <w:proofErr w:type="spellEnd"/>
      <w:r>
        <w:t xml:space="preserve"> alatti válaszidőkkel szolgál ki. A szinkronhívások blokkoló </w:t>
      </w:r>
      <w:proofErr w:type="spellStart"/>
      <w:r>
        <w:t>timeout</w:t>
      </w:r>
      <w:proofErr w:type="spellEnd"/>
      <w:r>
        <w:t xml:space="preserve"> értéke 10000 </w:t>
      </w:r>
      <w:proofErr w:type="spellStart"/>
      <w:r>
        <w:t>ms</w:t>
      </w:r>
      <w:proofErr w:type="spellEnd"/>
      <w:r>
        <w:t xml:space="preserve">. Kérjük, hogy kliens oldalon a fenti értéket meghaladó válaszidőt kezeljék csak időtúllépésként! Az abszolút </w:t>
      </w:r>
      <w:proofErr w:type="spellStart"/>
      <w:r>
        <w:t>timeout</w:t>
      </w:r>
      <w:proofErr w:type="spellEnd"/>
      <w:r>
        <w:t xml:space="preserve"> értéke 60 sec. Ha egy műveletre nem érkezik válasz a 60 másodperces </w:t>
      </w:r>
      <w:proofErr w:type="spellStart"/>
      <w:r>
        <w:t>timeout</w:t>
      </w:r>
      <w:proofErr w:type="spellEnd"/>
      <w:r>
        <w:t xml:space="preserve">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 xml:space="preserve">A NAV - mivel az </w:t>
      </w:r>
      <w:proofErr w:type="spellStart"/>
      <w:r>
        <w:t>eÁFA</w:t>
      </w:r>
      <w:proofErr w:type="spellEnd"/>
      <w:r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>
        <w:t>rate</w:t>
      </w:r>
      <w:proofErr w:type="spellEnd"/>
      <w:r>
        <w:t xml:space="preserve"> limiting megoldást vezethet be. A </w:t>
      </w:r>
      <w:proofErr w:type="spellStart"/>
      <w:r>
        <w:t>rate</w:t>
      </w:r>
      <w:proofErr w:type="spellEnd"/>
      <w:r>
        <w:t xml:space="preserve"> limiting azt jelenti, hogy a szerver oldali erőforrások védelmének érdekében az API </w:t>
      </w:r>
      <w:proofErr w:type="spellStart"/>
      <w:r>
        <w:t>Gateway</w:t>
      </w:r>
      <w:proofErr w:type="spellEnd"/>
      <w:r>
        <w:t xml:space="preserve"> képes lesz limitálni az </w:t>
      </w:r>
      <w:proofErr w:type="spellStart"/>
      <w:r>
        <w:t>adózónként</w:t>
      </w:r>
      <w:proofErr w:type="spellEnd"/>
      <w:r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</w:t>
      </w:r>
      <w:proofErr w:type="spellStart"/>
      <w:r w:rsidRPr="256CC2DE">
        <w:rPr>
          <w:i/>
          <w:iCs/>
          <w:sz w:val="24"/>
          <w:szCs w:val="24"/>
        </w:rPr>
        <w:t>request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. </w:t>
            </w:r>
          </w:p>
          <w:p w14:paraId="50DB052C" w14:textId="77777777" w:rsidR="004671B0" w:rsidRDefault="256CC2DE" w:rsidP="0030097C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</w:t>
      </w:r>
      <w:proofErr w:type="spellStart"/>
      <w:r w:rsidRPr="256CC2DE">
        <w:rPr>
          <w:i/>
          <w:iCs/>
          <w:sz w:val="24"/>
          <w:szCs w:val="24"/>
        </w:rPr>
        <w:t>response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60"/>
    </w:p>
    <w:p w14:paraId="5D1476CC" w14:textId="77777777" w:rsidR="004671B0" w:rsidRDefault="256CC2DE" w:rsidP="004671B0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751E5EC7" w14:textId="77777777" w:rsidR="004671B0" w:rsidRDefault="256CC2DE" w:rsidP="004671B0">
      <w:r>
        <w:t xml:space="preserve">A </w:t>
      </w:r>
      <w:proofErr w:type="spellStart"/>
      <w:r>
        <w:t>BaseResponseType</w:t>
      </w:r>
      <w:proofErr w:type="spellEnd"/>
      <w:r>
        <w:t xml:space="preserve">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proofErr w:type="spellStart"/>
            <w:r>
              <w:t>UserregistrationService</w:t>
            </w:r>
            <w:proofErr w:type="spellEnd"/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proofErr w:type="spellStart"/>
            <w:r>
              <w:t>redeemNonce</w:t>
            </w:r>
            <w:proofErr w:type="spellEnd"/>
          </w:p>
          <w:p w14:paraId="561825A8" w14:textId="7B1CFDE3" w:rsidR="003E55AD" w:rsidRDefault="256CC2DE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proofErr w:type="spellStart"/>
      <w:r w:rsidRPr="256CC2DE">
        <w:rPr>
          <w:i/>
          <w:iCs/>
          <w:sz w:val="24"/>
          <w:szCs w:val="24"/>
        </w:rPr>
        <w:t>Nonce</w:t>
      </w:r>
      <w:proofErr w:type="spellEnd"/>
      <w:r w:rsidRPr="256CC2DE">
        <w:rPr>
          <w:i/>
          <w:iCs/>
          <w:sz w:val="24"/>
          <w:szCs w:val="24"/>
        </w:rPr>
        <w:t xml:space="preserve">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proofErr w:type="spellStart"/>
            <w:r>
              <w:t>redeemNonce</w:t>
            </w:r>
            <w:proofErr w:type="spellEnd"/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Nonce</w:t>
            </w:r>
            <w:proofErr w:type="spellEnd"/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proofErr w:type="spellStart"/>
            <w:r>
              <w:t>Nonce</w:t>
            </w:r>
            <w:proofErr w:type="spellEnd"/>
            <w:r>
              <w:t xml:space="preserve"> beváltását biztosító művelet. A </w:t>
            </w:r>
            <w:proofErr w:type="spellStart"/>
            <w:r>
              <w:t>nonce</w:t>
            </w:r>
            <w:proofErr w:type="spellEnd"/>
            <w:r>
              <w:t>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proofErr w:type="spellStart"/>
            <w:r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 xml:space="preserve">A </w:t>
      </w:r>
      <w:proofErr w:type="spellStart"/>
      <w:r>
        <w:t>RedeemNonceRequestType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proofErr w:type="spellStart"/>
            <w:r>
              <w:t>nonce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proofErr w:type="spellStart"/>
            <w:r>
              <w:t>nonce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 xml:space="preserve">A </w:t>
      </w:r>
      <w:proofErr w:type="spellStart"/>
      <w:r>
        <w:t>RedeemNonceResponseType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proofErr w:type="spellStart"/>
            <w:r>
              <w:t>signatureKeySecondPart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77777777" w:rsidR="000D6741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proofErr w:type="spellStart"/>
            <w:r>
              <w:t>RedeemNonceResult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proofErr w:type="spellStart"/>
            <w:r>
              <w:t>signatureKeySecondPart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 xml:space="preserve">A </w:t>
      </w:r>
      <w:proofErr w:type="spellStart"/>
      <w:r>
        <w:t>RedeemNonceResult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proofErr w:type="spellStart"/>
            <w:r>
              <w:t>activateUserRegistration</w:t>
            </w:r>
            <w:proofErr w:type="spellEnd"/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Activation</w:t>
            </w:r>
            <w:proofErr w:type="spellEnd"/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 xml:space="preserve">A felhasználó regisztráció aktiválását biztosító művelet. Ezzel jelzi a kliensprogram, hogy sikeres volt a </w:t>
            </w:r>
            <w:proofErr w:type="spellStart"/>
            <w:r>
              <w:t>nonce</w:t>
            </w:r>
            <w:proofErr w:type="spellEnd"/>
            <w:r>
              <w:t xml:space="preserve">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proofErr w:type="spellStart"/>
            <w:r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 xml:space="preserve">Az </w:t>
      </w:r>
      <w:proofErr w:type="spellStart"/>
      <w:r>
        <w:t>ActivateUserRegistrationRequestType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</w:t>
            </w:r>
            <w:proofErr w:type="gramStart"/>
            <w:r>
              <w:t>F]{</w:t>
            </w:r>
            <w:proofErr w:type="gramEnd"/>
            <w:r>
              <w:t>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 xml:space="preserve">Az </w:t>
      </w:r>
      <w:proofErr w:type="spellStart"/>
      <w:r>
        <w:t>ActivateUserRegistrationResponseType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proofErr w:type="spellStart"/>
            <w:r>
              <w:t>ActivateUserRegistrationResult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 xml:space="preserve">Az </w:t>
      </w:r>
      <w:proofErr w:type="spellStart"/>
      <w:r>
        <w:t>ActivateRegistrationResult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proofErr w:type="spellStart"/>
      <w:r>
        <w:t>Token</w:t>
      </w:r>
      <w:proofErr w:type="spellEnd"/>
      <w:r>
        <w:t xml:space="preserve"> kezelés interfésze</w:t>
      </w:r>
      <w:bookmarkEnd w:id="64"/>
    </w:p>
    <w:p w14:paraId="2CDB0F60" w14:textId="4A577694" w:rsidR="005561D6" w:rsidRDefault="256CC2DE" w:rsidP="005561D6">
      <w:r>
        <w:t xml:space="preserve">Jelenleg csak A </w:t>
      </w:r>
      <w:proofErr w:type="spellStart"/>
      <w:r>
        <w:t>token</w:t>
      </w:r>
      <w:proofErr w:type="spellEnd"/>
      <w:r>
        <w:t xml:space="preserve"> igénylés támogatott,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proofErr w:type="spellStart"/>
      <w:r w:rsidRPr="256CC2DE">
        <w:rPr>
          <w:i/>
          <w:iCs/>
          <w:sz w:val="24"/>
          <w:szCs w:val="24"/>
        </w:rPr>
        <w:t>Token</w:t>
      </w:r>
      <w:proofErr w:type="spellEnd"/>
      <w:r w:rsidRPr="256CC2DE">
        <w:rPr>
          <w:i/>
          <w:iCs/>
          <w:sz w:val="24"/>
          <w:szCs w:val="24"/>
        </w:rPr>
        <w:t xml:space="preserve">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</w:t>
            </w:r>
            <w:proofErr w:type="spellStart"/>
            <w:r>
              <w:t>tokenService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 xml:space="preserve">Új hozzáférési </w:t>
            </w:r>
            <w:proofErr w:type="spellStart"/>
            <w:r>
              <w:t>token</w:t>
            </w:r>
            <w:proofErr w:type="spellEnd"/>
            <w:r>
              <w:t xml:space="preserve"> igénylését biztosító művelet. A kliens ezt kell küldje majd minden műveletben, hogy igazolja a felhasználó jogosultságát a művelet elvégzésére. A kiadott </w:t>
            </w:r>
            <w:proofErr w:type="spellStart"/>
            <w:r>
              <w:t>token</w:t>
            </w:r>
            <w:proofErr w:type="spellEnd"/>
            <w:r>
              <w:t xml:space="preserve">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proofErr w:type="spellStart"/>
            <w:r>
              <w:t>CreateTokenRequestType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 xml:space="preserve">A </w:t>
      </w:r>
      <w:proofErr w:type="spellStart"/>
      <w:r>
        <w:t>CreateTokenRequestType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proofErr w:type="spellStart"/>
            <w:r>
              <w:t>clientId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proofErr w:type="spellStart"/>
            <w:r>
              <w:t>clientSecret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proofErr w:type="spellStart"/>
            <w:r>
              <w:t>password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proofErr w:type="spellStart"/>
            <w:r>
              <w:t>username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proofErr w:type="spellStart"/>
            <w:r>
              <w:t>clientId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proofErr w:type="spellStart"/>
            <w:r>
              <w:t>clientSecret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proofErr w:type="spellStart"/>
            <w:r>
              <w:t>username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proofErr w:type="spellStart"/>
            <w:r>
              <w:t>password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 xml:space="preserve">A </w:t>
      </w:r>
      <w:proofErr w:type="spellStart"/>
      <w:r>
        <w:t>CreateTokenResponseType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proofErr w:type="spellStart"/>
            <w:r>
              <w:t>expires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3A45A470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ennyi másodperc után veszíti el </w:t>
            </w:r>
            <w:proofErr w:type="gramStart"/>
            <w:r>
              <w:t>érvényességét(</w:t>
            </w:r>
            <w:proofErr w:type="gramEnd"/>
            <w:r>
              <w:t>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55D9C0FF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 xml:space="preserve">A hozzáférést biztosító </w:t>
            </w:r>
            <w:proofErr w:type="spellStart"/>
            <w:r>
              <w:t>token</w:t>
            </w:r>
            <w:proofErr w:type="spellEnd"/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proofErr w:type="spellStart"/>
            <w:r>
              <w:t>CreateTokenResult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 xml:space="preserve">A </w:t>
      </w:r>
      <w:proofErr w:type="spellStart"/>
      <w:r>
        <w:t>CreateTokenResult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15897A71" w:rsidR="00606AAA" w:rsidRDefault="256CC2DE" w:rsidP="00F47FAB">
            <w:r>
              <w:t>/NavM2mDocument/</w:t>
            </w:r>
            <w:proofErr w:type="spellStart"/>
            <w:r>
              <w:t>filestoreUploadService</w:t>
            </w:r>
            <w:proofErr w:type="spellEnd"/>
            <w:r>
              <w:t>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0FA4C2CC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56CC2DE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proofErr w:type="spellStart"/>
            <w:r>
              <w:t>getFileStatus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</w:t>
            </w:r>
            <w:proofErr w:type="gramStart"/>
            <w:r>
              <w:t>F]{</w:t>
            </w:r>
            <w:proofErr w:type="gramEnd"/>
            <w:r>
              <w:t>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49F6E42C" w:rsidR="00606AAA" w:rsidRDefault="001474F0" w:rsidP="00606AAA">
      <w:r>
        <w:rPr>
          <w:noProof/>
        </w:rPr>
        <w:drawing>
          <wp:inline distT="0" distB="0" distL="0" distR="0" wp14:anchorId="672182F1" wp14:editId="6A2D8AD0">
            <wp:extent cx="5762625" cy="1540510"/>
            <wp:effectExtent l="0" t="0" r="9525" b="2540"/>
            <wp:docPr id="66436611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611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 xml:space="preserve">Az </w:t>
      </w:r>
      <w:proofErr w:type="spellStart"/>
      <w:r>
        <w:t>AddFileResponseType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proofErr w:type="spellStart"/>
            <w:r>
              <w:t>FileUploadResult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273BD0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273BD0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273BD0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273BD0" w:rsidRDefault="256CC2DE" w:rsidP="00194AF4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 xml:space="preserve">A </w:t>
      </w:r>
      <w:proofErr w:type="spellStart"/>
      <w:r>
        <w:t>FileUploadResult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GetFileStatus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1252A6F2" w:rsidR="00354754" w:rsidRDefault="256CC2DE" w:rsidP="00F47FAB">
            <w:r>
              <w:t>/NavM2mDocument/</w:t>
            </w:r>
            <w:proofErr w:type="spellStart"/>
            <w:r>
              <w:t>filestoreDownloadService</w:t>
            </w:r>
            <w:proofErr w:type="spellEnd"/>
            <w:r>
              <w:t>/File/{</w:t>
            </w:r>
            <w:proofErr w:type="spellStart"/>
            <w:r>
              <w:t>fileId</w:t>
            </w:r>
            <w:proofErr w:type="spellEnd"/>
            <w:r>
              <w:t>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proofErr w:type="spellStart"/>
            <w:r>
              <w:t>fileId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 xml:space="preserve">A </w:t>
      </w:r>
      <w:proofErr w:type="spellStart"/>
      <w:r>
        <w:t>GetFileStatusResponseType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proofErr w:type="spellStart"/>
            <w:r>
              <w:t>retentionTime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 xml:space="preserve">A </w:t>
      </w:r>
      <w:proofErr w:type="spellStart"/>
      <w:r>
        <w:t>VirusScanResult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lastRenderedPageBreak/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</w:t>
      </w:r>
      <w:proofErr w:type="spellStart"/>
      <w:r w:rsidRPr="0055215C">
        <w:rPr>
          <w:rFonts w:eastAsia="Times New Roman"/>
        </w:rPr>
        <w:t>fake</w:t>
      </w:r>
      <w:proofErr w:type="spellEnd"/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 xml:space="preserve">A WSDL-ek és XSD-k névtere és a </w:t>
      </w:r>
      <w:proofErr w:type="spellStart"/>
      <w:r>
        <w:t>SoapAction</w:t>
      </w:r>
      <w:proofErr w:type="spellEnd"/>
      <w:r>
        <w:t xml:space="preserve">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proofErr w:type="spellStart"/>
      <w:r w:rsidRPr="256CC2DE">
        <w:rPr>
          <w:highlight w:val="yellow"/>
        </w:rPr>
        <w:t>Helpdesk</w:t>
      </w:r>
      <w:bookmarkEnd w:id="78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008C9" w14:textId="77777777" w:rsidR="002D3A22" w:rsidRDefault="002D3A22">
      <w:pPr>
        <w:spacing w:after="0" w:line="240" w:lineRule="auto"/>
      </w:pPr>
      <w:r>
        <w:separator/>
      </w:r>
    </w:p>
  </w:endnote>
  <w:endnote w:type="continuationSeparator" w:id="0">
    <w:p w14:paraId="0645E110" w14:textId="77777777" w:rsidR="002D3A22" w:rsidRDefault="002D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D270D" w14:textId="77777777" w:rsidR="002D3A22" w:rsidRDefault="002D3A22">
      <w:pPr>
        <w:spacing w:after="0" w:line="240" w:lineRule="auto"/>
      </w:pPr>
      <w:r>
        <w:separator/>
      </w:r>
    </w:p>
  </w:footnote>
  <w:footnote w:type="continuationSeparator" w:id="0">
    <w:p w14:paraId="64637C33" w14:textId="77777777" w:rsidR="002D3A22" w:rsidRDefault="002D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4F0"/>
    <w:rsid w:val="00147FA6"/>
    <w:rsid w:val="001508FE"/>
    <w:rsid w:val="00151EE7"/>
    <w:rsid w:val="00152AA0"/>
    <w:rsid w:val="00154EB9"/>
    <w:rsid w:val="00167084"/>
    <w:rsid w:val="00174591"/>
    <w:rsid w:val="00183118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008F"/>
    <w:rsid w:val="00217F1F"/>
    <w:rsid w:val="00224EB0"/>
    <w:rsid w:val="002301C9"/>
    <w:rsid w:val="00240A18"/>
    <w:rsid w:val="002506E9"/>
    <w:rsid w:val="002545F7"/>
    <w:rsid w:val="00256D53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4D68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41B33"/>
    <w:rsid w:val="0084232F"/>
    <w:rsid w:val="008555A8"/>
    <w:rsid w:val="00860CF3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814E0"/>
    <w:rsid w:val="00A86D9B"/>
    <w:rsid w:val="00AA20F0"/>
    <w:rsid w:val="00AA244A"/>
    <w:rsid w:val="00AA6BD2"/>
    <w:rsid w:val="00AB63CC"/>
    <w:rsid w:val="00AC033B"/>
    <w:rsid w:val="00AC0ABC"/>
    <w:rsid w:val="00AC329D"/>
    <w:rsid w:val="00AC4D92"/>
    <w:rsid w:val="00AD106E"/>
    <w:rsid w:val="00AD1E20"/>
    <w:rsid w:val="00AD2A1A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E2559"/>
    <w:rsid w:val="00C02184"/>
    <w:rsid w:val="00C0520E"/>
    <w:rsid w:val="00C1478C"/>
    <w:rsid w:val="00C16455"/>
    <w:rsid w:val="00C30428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E1ED3"/>
    <w:rsid w:val="00EE2673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26</Pages>
  <Words>4281</Words>
  <Characters>29546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15</cp:revision>
  <dcterms:created xsi:type="dcterms:W3CDTF">2024-06-26T13:06:00Z</dcterms:created>
  <dcterms:modified xsi:type="dcterms:W3CDTF">2024-09-20T06:54:00Z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