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74B142A6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</w:t>
      </w:r>
      <w:r w:rsidR="005B5805">
        <w:rPr>
          <w:rFonts w:ascii="Times New Roman" w:eastAsia="Times New Roman" w:hAnsi="Times New Roman" w:cs="Times New Roman"/>
          <w:sz w:val="40"/>
          <w:szCs w:val="40"/>
        </w:rPr>
        <w:t>4</w:t>
      </w:r>
      <w:r w:rsidRPr="256CC2DE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r>
              <w:t>resultMessage megadása nem kötelező</w:t>
            </w:r>
          </w:p>
        </w:tc>
      </w:tr>
      <w:tr w:rsidR="005B5805" w14:paraId="4AA83ED3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CC6A7" w14:textId="0C5E4D2F" w:rsidR="005B5805" w:rsidRPr="256CC2DE" w:rsidRDefault="005B5805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2024.10.30.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F3DA479" w14:textId="52B9AFB1" w:rsidR="005B5805" w:rsidRDefault="005B5805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B8B73" w14:textId="77777777" w:rsidR="005B5805" w:rsidRDefault="005B5805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E49" w14:textId="29180F0F" w:rsidR="005B5805" w:rsidRDefault="005B5805" w:rsidP="00FB75C3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1264" w14:textId="42625401" w:rsidR="005B5805" w:rsidRDefault="005B5805" w:rsidP="005256AC">
            <w:pPr>
              <w:ind w:left="108"/>
            </w:pPr>
            <w:r>
              <w:t>1.1-es interfész változásainak átvezetése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nonce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r>
              <w:t xml:space="preserve">Authentication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r>
              <w:t xml:space="preserve">Authorization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Azonosítási titkok a regisztrációs és felhasználó-azonosítási eljárás során alkalmazott, a NAV M2M API műszaki dokumentációjában részletezett titkos információk. Az azonosítási titkok közé tartoznak például: client secret, felhasználói jelszó, felhasználói aláíró kulcs, nonce,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r>
              <w:t xml:space="preserve">Client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r>
              <w:t xml:space="preserve">Client ID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r>
              <w:t xml:space="preserve">Client secret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r>
              <w:t xml:space="preserve">Nonce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nonce-t csak egyszer lehet felhasználni az aláírókulcs megszerzésére, és a sikeres cserét csak egy megbízható fél hajthatja végre, ehhez általában egy további titkot (pl. User, client secret) is meg kell adni. A nonce használatának célja, hogy az aláírókulcs ne kelljen kiadni megbízhatatlan „közvetítők” számára (pl. felhasználó); a közvetítő az aláírókulcs helyett a nonce-ot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r>
              <w:t xml:space="preserve">RESTful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r>
              <w:t xml:space="preserve">Zero Trust </w:t>
            </w:r>
            <w:r w:rsidRPr="256CC2DE">
              <w:rPr>
                <w:b w:val="0"/>
                <w:bCs w:val="0"/>
                <w:i/>
                <w:iCs/>
              </w:rPr>
              <w:t>(Security)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API-key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ÜPO-tól kapott API-key-t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r>
        <w:lastRenderedPageBreak/>
        <w:t>Token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tokent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tokent. </w:t>
      </w:r>
      <w:r>
        <w:rPr>
          <w:kern w:val="0"/>
          <w14:ligatures w14:val="none"/>
        </w:rPr>
        <w:t>Biztonsági okból a token nem kerülhet olvasható formában a kliensprogramhoz, ezért a token kicserélésre kerül egy nem olvasható, úgynevezett phantom tokenre; a két token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 phantom tokent küldi vissza a kliensnek. A hozzáférés aktiválása előtt kiállított token kizárólag a nonce érvénytelenítési szolgáltatásra ad jogosultságot a kliensnek. A kiállított hozzáférési token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phantom tokent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Az NAV M2M a phantom tokent kicseréli az eredeti hozzáférési tokenre,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r>
        <w:lastRenderedPageBreak/>
        <w:t>Nonce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a nonce-ot elküldi a NAV M2M megfelelő API-jának, hogy azt beváltsa a titkos aláíró kulcs egy részére. A kérést a phantom token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NAV M2M a phantom tokent kicseréli az eredeti hozzáférési tokenre, ellenőrzi az adott felhasználó adott funkcióhoz való hozzáférését. Továbbá ellenőrzi a nonce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meghívja a NAV M2M API-n a hozzáférés aktiválási funkciót. A hívást a phantom token átadásával hitelesíti. Emellett az üzenet aláírása is szükséges, amivel ellenőrzésre kerül, hogy a kiensprogram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sikeres biztonsági ellenőrzés esetén elvégzi a felhasználó aktiválását, és érvényteleníti a nonce-t (így ezután már nem ismételhetők meg az 1.9-1.12 lépések). Szintén érvényteleníti a kiadott OAuth 2.0 tokent, a további API használathoz tehát új token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hash-ét.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1793FD97" w14:textId="2864D759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visszaküldi a fájl egyedi azonosítóját a kliensnek, </w:t>
      </w:r>
      <w:r w:rsidR="00A8190E">
        <w:t>valamint ha a vírusellenőrzés 30mp alatt megtörténik, akkor azonnal visszaadja az eredményét. Ha több ideig tart az ellenőrzés, akkor a következő lépéssel lehet lekérdezni az eredményét. (A fájl további használatakor (pl bizonylat létrehozás) újból ellenőrzésre kerül a vírusellenőrző eredménye)</w:t>
      </w:r>
    </w:p>
    <w:p w14:paraId="23744D4B" w14:textId="25403BD2" w:rsidR="006A64F5" w:rsidRDefault="00A8190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Opcionálisan a</w:t>
      </w:r>
      <w:r w:rsidR="256CC2DE">
        <w:t xml:space="preserve">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1C6A266E" w:rsidR="009148C8" w:rsidRPr="008D2071" w:rsidRDefault="006F51FF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base64(</w:t>
      </w:r>
      <w:r w:rsidR="00460FDB"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  <w:r>
        <w:rPr>
          <w:b/>
          <w:bCs/>
          <w:i/>
          <w:iCs/>
        </w:rPr>
        <w:t>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YYYYMMDDHHmmss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r w:rsidR="00460FDB">
        <w:t>nonce beváltás</w:t>
      </w:r>
      <w:r>
        <w:t xml:space="preserve"> során előállt kulcs.</w:t>
      </w:r>
    </w:p>
    <w:p w14:paraId="78797731" w14:textId="4DF9F9F0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hash-elni, </w:t>
      </w:r>
      <w:r w:rsidR="006F51FF">
        <w:t xml:space="preserve">majd base64 kódolni, </w:t>
      </w:r>
      <w:r>
        <w:t>majd nagybetűsíteni.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5A8CF711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ED7593">
        <w:rPr>
          <w:b/>
          <w:bCs/>
          <w:i/>
          <w:iCs/>
        </w:rPr>
        <w:t>base64(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 w:rsidR="00ED7593">
        <w:rPr>
          <w:b/>
          <w:bCs/>
          <w:i/>
          <w:iCs/>
        </w:rPr>
        <w:t>)</w:t>
      </w:r>
      <w:r>
        <w:t xml:space="preserve"> =</w:t>
      </w:r>
    </w:p>
    <w:p w14:paraId="62241B53" w14:textId="5ACE0BA9" w:rsidR="00691B54" w:rsidRPr="005256AC" w:rsidRDefault="00A71F48" w:rsidP="256CC2DE">
      <w:pPr>
        <w:pStyle w:val="Listaszerbekezds"/>
        <w:jc w:val="both"/>
        <w:rPr>
          <w:caps/>
        </w:rPr>
      </w:pPr>
      <w:r w:rsidRPr="00A71F48">
        <w:rPr>
          <w:caps/>
        </w:rPr>
        <w:t>LOHXJMDUZR4ETMOA9Y6XMLGHWCRR3/OJQ6T6JBDKQOG=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pattern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id,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r w:rsidRPr="256CC2DE">
        <w:rPr>
          <w:i/>
          <w:iCs/>
          <w:sz w:val="24"/>
          <w:szCs w:val="24"/>
        </w:rPr>
        <w:t>Feljéc</w:t>
      </w:r>
      <w:bookmarkEnd w:id="47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>content-type=application/json</w:t>
      </w:r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r>
        <w:t xml:space="preserve">accept=application/json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mappelve,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Bad request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Unauthorized - Token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Forbidden - Role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Not found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Entity too large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Too many requests - AGW Rate limiter</w:t>
            </w:r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Internal server error - Exception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Service unavailable - AGW Circuit breaker</w:t>
            </w:r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Gateway timeout - AGW Timeout</w:t>
            </w:r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>A szerver jellemzően 200 ms alatti válaszidőkkel szolgál ki. A szinkronhívások blokkoló timeout értéke 10000 ms. Kérjük, hogy kliens oldalon a fenti értéket meghaladó válaszidőt kezeljék csak időtúllépésként! Az abszolút timeout értéke 60 sec. Ha egy műveletre nem érkezik válasz a 60 másodperces timeout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>A NAV - mivel az eÁFA M2M szolgáltatásként jelenik meg - az interfészspecifikációtól lényegesen eltérő és a rendszer működését zavaró vagy akadályozó kommunikáció megakadályozása érdekében a jövőben rate limiting megoldást vezethet be. A rate limiting azt jelenti, hogy a szerver oldali erőforrások védelmének érdekében az API Gateway képes lesz limitálni az adózónként adott idő alatt beküldhető kérések számát, és amennyiben egy adózó túllépi a limitben meghatározott kérések számát, akkor a HTTP szabványnak megfelelő HTTP 429 Too Many Request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(request)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r>
              <w:t xml:space="preserve">Authentikációs token. </w:t>
            </w:r>
          </w:p>
          <w:p w14:paraId="50DB052C" w14:textId="77777777" w:rsidR="004671B0" w:rsidRDefault="256CC2DE" w:rsidP="0030097C">
            <w:r>
              <w:t>*Egyedül a tokenkérés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r>
              <w:t>messageId</w:t>
            </w:r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r>
              <w:t>correlationId</w:t>
            </w:r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r>
              <w:t>Authorization</w:t>
            </w:r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(response)</w:t>
      </w:r>
      <w:bookmarkEnd w:id="60"/>
    </w:p>
    <w:p w14:paraId="5D1476CC" w14:textId="77777777" w:rsidR="004671B0" w:rsidRDefault="256CC2DE" w:rsidP="004671B0">
      <w:r>
        <w:t>Az összes válaszüzenet a BaseResponseType típusbból van leszármaztatva.</w:t>
      </w:r>
    </w:p>
    <w:p w14:paraId="751E5EC7" w14:textId="77777777" w:rsidR="004671B0" w:rsidRDefault="256CC2DE" w:rsidP="004671B0">
      <w:r>
        <w:t>A BaseResponseType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>A válaszkódhoz kapcsolódó üzenet. A válaszkódok műveletenként, mint enum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r>
              <w:t>UserregistrationService</w:t>
            </w:r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r>
              <w:t>redeemNonce</w:t>
            </w:r>
          </w:p>
          <w:p w14:paraId="561825A8" w14:textId="7B1CFDE3" w:rsidR="003E55AD" w:rsidRDefault="256CC2DE" w:rsidP="00BB7F61">
            <w:r>
              <w:t>activateUserRegistration</w:t>
            </w:r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r w:rsidRPr="256CC2DE">
        <w:rPr>
          <w:i/>
          <w:iCs/>
          <w:sz w:val="24"/>
          <w:szCs w:val="24"/>
        </w:rPr>
        <w:t>Nonce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r>
              <w:t>redeemNonce</w:t>
            </w:r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/NavM2mCommon/userregistrationService/Nonce</w:t>
            </w:r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r>
              <w:t>Nonce beváltását biztosító művelet. A nonce-ért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r>
              <w:t>RedeemNonceRequestType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>A RedeemNonceRequestType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r>
              <w:t>nonce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r>
              <w:t>nonce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>A RedeemNonceResponseType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r>
              <w:t>signatureKeySecondPart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r>
              <w:t>RedeemNonceResult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r>
              <w:t>signatureKeySecondPart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>A RedeemNonceResult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>Sikeres nonce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>Érvénytelen nonce.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r>
              <w:t>activateUserRegistration</w:t>
            </w:r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/NavM2mCommon/userregistrationService/Activation</w:t>
            </w:r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>A felhasználó regisztráció aktiválását biztosító művelet. Ezzel jelzi a kliensprogram, hogy sikeres volt a nonce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r>
              <w:t>ActivateUserRegistrationRequestType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>Az ActivateUserRegistrationRequestType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r>
              <w:t>signature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r>
              <w:t>signature</w:t>
            </w:r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>Az ActivateUserRegistrationResponseType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r>
              <w:t>resultCode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r>
              <w:t>ActivateUserRegistrationResult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r>
              <w:t>resultMessage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>Az ActivateRegistrationResult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r>
        <w:t>Token kezelés interfésze</w:t>
      </w:r>
      <w:bookmarkEnd w:id="64"/>
    </w:p>
    <w:p w14:paraId="2CDB0F60" w14:textId="4A577694" w:rsidR="005561D6" w:rsidRDefault="256CC2DE" w:rsidP="005561D6">
      <w:r>
        <w:t>Jelenleg csak A token igénylés támogatott, későbbi verzióban token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r>
              <w:t>TokenService</w:t>
            </w:r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r>
              <w:t>createToken</w:t>
            </w:r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r>
              <w:t>Tokenkezelést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r w:rsidRPr="256CC2DE">
        <w:rPr>
          <w:i/>
          <w:iCs/>
          <w:sz w:val="24"/>
          <w:szCs w:val="24"/>
        </w:rPr>
        <w:t>Token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r>
              <w:t>createToken</w:t>
            </w:r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/NavM2mCommon/tokenService/Token</w:t>
            </w:r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>Új hozzáférési token igénylését biztosító művelet. A kliens ezt kell küldje majd minden műveletben, hogy igazolja a felhasználó jogosultságát a művelet elvégzésére. A kiadott token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r>
              <w:t>requestData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r>
              <w:t>CreateTokenRequestType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>A CreateTokenRequestType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r>
              <w:t>clientId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r>
              <w:t>clientSecret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r>
              <w:t>password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r>
              <w:t>username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r>
              <w:t>string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r>
              <w:t>clientId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r>
              <w:t>clientSecret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r>
              <w:t>username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r>
              <w:t>password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>A CreateTokenResponseType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r>
              <w:t>expires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>A token ennyi másodperc után veszíti el érvényességét(jár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r>
              <w:t>accessToken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>A hozzáférést biztosító token</w:t>
            </w:r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r>
              <w:t>CreateTokenResult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r>
              <w:t>accessToken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>A CreateTokenResult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>Sikeres token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>Sikertelen token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r>
              <w:t>FilestoreUploadService</w:t>
            </w:r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r>
              <w:t>addFile</w:t>
            </w:r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r>
              <w:t>FilestoreDownloadService</w:t>
            </w:r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r>
              <w:t>getFileStatus</w:t>
            </w:r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r>
              <w:t>addFile</w:t>
            </w:r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r>
              <w:t>FilestoreUploadService</w:t>
            </w:r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/NavM2mDocument/filestoreUploadService/File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2CE73FEA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hash-t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r>
              <w:t>getFileStatus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  <w:r w:rsidR="00BD6A46">
              <w:rPr>
                <w:rFonts w:eastAsiaTheme="minorEastAsia"/>
                <w:color w:val="auto"/>
                <w:sz w:val="20"/>
                <w:szCs w:val="20"/>
              </w:rPr>
              <w:t xml:space="preserve"> A feltöltött fájlokat egy napig őrzi meg a rendszer, utána törlődnek.</w:t>
            </w:r>
            <w:r w:rsidR="00A8190E">
              <w:rPr>
                <w:rFonts w:eastAsiaTheme="minorEastAsia"/>
                <w:color w:val="auto"/>
                <w:sz w:val="20"/>
                <w:szCs w:val="20"/>
              </w:rPr>
              <w:br/>
            </w:r>
            <w:r w:rsidR="002619BC" w:rsidRPr="002619BC">
              <w:rPr>
                <w:rFonts w:eastAsiaTheme="minorEastAsia"/>
                <w:color w:val="auto"/>
                <w:sz w:val="20"/>
                <w:szCs w:val="20"/>
              </w:rPr>
              <w:t>Ha 30mp-en belül befejeződik a víurellenőrzés, akkor azonnal visszakapja a választ.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hash.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r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r>
              <w:t>query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lastRenderedPageBreak/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r>
              <w:t>signature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[0-9a-fA-F]{44-64}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27D319B9" w:rsidR="00606AAA" w:rsidRDefault="004155E8" w:rsidP="00606AAA">
      <w:r w:rsidRPr="004155E8">
        <w:rPr>
          <w:noProof/>
        </w:rPr>
        <w:drawing>
          <wp:inline distT="0" distB="0" distL="0" distR="0" wp14:anchorId="688EA738" wp14:editId="1FD4CD80">
            <wp:extent cx="5068007" cy="2467319"/>
            <wp:effectExtent l="0" t="0" r="0" b="9525"/>
            <wp:docPr id="1394982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8230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>Az AddFileResponseType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73"/>
        <w:gridCol w:w="1945"/>
        <w:gridCol w:w="1113"/>
        <w:gridCol w:w="3936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r>
              <w:t>fileId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r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r>
              <w:t>FileUploadResult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4155E8" w14:paraId="6FE13133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4F8BD5B" w14:textId="76DA1402" w:rsidR="004155E8" w:rsidRDefault="004155E8" w:rsidP="004155E8">
            <w:r w:rsidRPr="004155E8">
              <w:t>virusScanResultCode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58528E5" w14:textId="73BB6D30" w:rsidR="004155E8" w:rsidRDefault="004155E8" w:rsidP="004155E8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7EB50E" w14:textId="7858BD13" w:rsidR="004155E8" w:rsidRDefault="004155E8" w:rsidP="004155E8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F4A817" w14:textId="7F5A7ECE" w:rsidR="004155E8" w:rsidRDefault="004155E8" w:rsidP="004155E8">
            <w:r>
              <w:t>Válaszkód</w:t>
            </w:r>
          </w:p>
        </w:tc>
      </w:tr>
      <w:tr w:rsidR="004155E8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4155E8" w:rsidRDefault="004155E8" w:rsidP="004155E8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4155E8" w:rsidRDefault="004155E8" w:rsidP="004155E8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4155E8" w:rsidRDefault="004155E8" w:rsidP="004155E8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4155E8" w:rsidRDefault="004155E8" w:rsidP="004155E8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>A FileUploadResult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lastRenderedPageBreak/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Sikeres fájl feltöltés. Nem jelenti azt, hogy a fájl nem vírusos. A vírusellenőrzés eredményét a GetFileStatus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fájl-ról képzett sha256 hash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r>
              <w:t>getFileStatus</w:t>
            </w:r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r>
              <w:t>FilestoreDownloadService</w:t>
            </w:r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/NavM2mDocument/filestoreDownloadService/File/{fileId}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r>
              <w:t>fileId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r>
              <w:t>string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r>
              <w:t>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>A GetFileStatusResponseType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r>
              <w:t>retentionTime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r>
              <w:t>datetime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r>
              <w:lastRenderedPageBreak/>
              <w:t>resultCode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r>
              <w:t>VirusScanResult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r>
              <w:t>resultMessage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>A VirusScanResult enum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fájl-ról képzett sha256 hash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fake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>A WSDL-ek és XSD-k névtere és a SoapAction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r w:rsidRPr="256CC2DE">
        <w:rPr>
          <w:highlight w:val="yellow"/>
        </w:rPr>
        <w:t>Helpdesk</w:t>
      </w:r>
      <w:bookmarkEnd w:id="78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C4487" w14:textId="77777777" w:rsidR="006F1439" w:rsidRDefault="006F1439">
      <w:pPr>
        <w:spacing w:after="0" w:line="240" w:lineRule="auto"/>
      </w:pPr>
      <w:r>
        <w:separator/>
      </w:r>
    </w:p>
  </w:endnote>
  <w:endnote w:type="continuationSeparator" w:id="0">
    <w:p w14:paraId="35DD2709" w14:textId="77777777" w:rsidR="006F1439" w:rsidRDefault="006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10B5" w14:textId="77777777" w:rsidR="006F1439" w:rsidRDefault="006F1439">
      <w:pPr>
        <w:spacing w:after="0" w:line="240" w:lineRule="auto"/>
      </w:pPr>
      <w:r>
        <w:separator/>
      </w:r>
    </w:p>
  </w:footnote>
  <w:footnote w:type="continuationSeparator" w:id="0">
    <w:p w14:paraId="4D2D3405" w14:textId="77777777" w:rsidR="006F1439" w:rsidRDefault="006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29E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044"/>
    <w:rsid w:val="001470A5"/>
    <w:rsid w:val="001474F0"/>
    <w:rsid w:val="00147FA6"/>
    <w:rsid w:val="001508FE"/>
    <w:rsid w:val="00151EE7"/>
    <w:rsid w:val="00152AA0"/>
    <w:rsid w:val="00154EB9"/>
    <w:rsid w:val="001626B2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506E9"/>
    <w:rsid w:val="002545F7"/>
    <w:rsid w:val="00256D53"/>
    <w:rsid w:val="002619BC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976FE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155E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805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1439"/>
    <w:rsid w:val="006F51F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3BFF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048B1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B6205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06988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71F48"/>
    <w:rsid w:val="00A814E0"/>
    <w:rsid w:val="00A8190E"/>
    <w:rsid w:val="00A86D9B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D41E2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D6A46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D7593"/>
    <w:rsid w:val="00EE1ED3"/>
    <w:rsid w:val="00EE2673"/>
    <w:rsid w:val="00EE3101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26</Pages>
  <Words>4328</Words>
  <Characters>29871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25</cp:revision>
  <dcterms:created xsi:type="dcterms:W3CDTF">2024-06-26T13:06:00Z</dcterms:created>
  <dcterms:modified xsi:type="dcterms:W3CDTF">2024-12-16T15:21:00Z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