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CRediT Author Statement</w:t>
      </w:r>
    </w:p>
    <w:p>
      <w:r>
        <w:t>Manuscript: Reproducibility of automated cardiac and vascular volumetry across chest CT reconstruction kernels: a same-acquisition paired study with executable guardrails</w:t>
      </w:r>
    </w:p>
    <w:p>
      <w:r>
        <w:t>Nicolas Avelar: Conceptualization, Methodology, Software, Formal analysis, Investigation, Data curation, Visualization, Writing – original draft, Writing – review &amp; editing, Project administration, Funding acquisition. N.A. carried out the imaging arm in full: cohort construction from The Cancer Imaging Archive, the DICOM header audit, same-acquisition pair confirmation, the segmentation runs, and all three imaging endpoints.</w:t>
      </w:r>
    </w:p>
    <w:p>
      <w:r>
        <w:t>Ruidong Zhang: Methodology, Software (original transcriptomic pipeline on which that arm was developed), Writing – review &amp; editing.</w:t>
      </w:r>
    </w:p>
    <w:p>
      <w:r>
        <w:t>Yi Pan: Conceptualization, Methodology, Supervision, Writing – review &amp; editing.</w:t>
      </w:r>
    </w:p>
    <w:p>
      <w:r>
        <w:t>Both analyses were executed by a hierarchical multi-agent system operating on deterministic, model-free analytical modules, under human design and audit (Sections 2.12 and 4.8). N.A. specified the guardrails, audited every reported quantity against its source table, and is responsible for the final content. All authors reviewed the completed manuscript and take responsibility for the integrity of the analysis, including the portion executed by the agent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