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w:t>
      </w:r>
    </w:p>
    <w:p>
      <w:r>
        <w:t>Dear Editors,</w:t>
      </w:r>
    </w:p>
    <w:p>
      <w:r>
        <w:t>We resubmit manuscript METRAD-S-26-00342 for the special issue on autonomous agents for radiology research, under a new title: “Reproducibility of automated cardiac and vascular volumetry across chest CT reconstruction kernels: a same-acquisition paired study with executable guardrails”. The research question is unchanged — whether the failing human heart releases a signaling protein for which tumors carry a selectively enriched receptor — but reviewers questioned how directly the work bears on radiology, and we have addressed that by adding an imaging analysis and reporting it first. The new title reflects that reordering rather than a change of subject.</w:t>
      </w:r>
    </w:p>
    <w:p>
      <w:r>
        <w:t>A pre-trained segmentation network returns a measurement for any image it is given. It has no way to signal that the acquisition falls outside the range where its output was validated, and in the output file a measurement returned outside that range looks exactly like one returned inside it. As radiological analysis is delegated to autonomous systems, that is the failure mode we think matters, and it is the one this paper addresses.</w:t>
      </w:r>
    </w:p>
    <w:p>
      <w:r>
        <w:t>We quantify it with a design that removes the patient from the comparison. Within a single CT study, one irradiation event is often reconstructed more than once at a different convolution kernel or slice thickness. We assembled 193 such pairs in 59 patients from four public TCGA collections in The Cancer Imaging Archive, confirming shared acquisition from DICOM frame of reference and acquisition time rather than inferring it from study membership, and measured five thoracic structures with TotalSegmentator. Across kernels, whole-heart volume moves by 0.63% (95% CI 0.50-0.97) and pulmonary vein by 4.96% (3.20-5.63), an eight-fold difference between a chamber and a thin vessel. Anyone applying such models across heterogeneously reconstructed archives now has an effect size for that component of measurement error, and a concrete recommendation: record kernel and slice thickness, and match reconstructed z-coverage rather than assuming series from one study share it.</w:t>
      </w:r>
    </w:p>
    <w:p>
      <w:r>
        <w:t>That last point is the paper's most useful result and we did not plan it. We had written into our own pre-specification, as a sentence, that two reconstructions of one acquisition necessarily share z-coverage. They do not. Coverage differs within a pair by a median of 15%, and coverage difference predicts apparent volume difference at Spearman rho 0.70 for the aorta. Left unmeasured, that assumption would have converted field-of-view truncation into a reconstruction effect and produced a larger, cleaner-looking number with an intact audit trail. A sentence in a methods section cannot fail. The same requirement, written as an assertion over the DICOM header table, would have halted the analysis before any GPU time was spent. That contrast is the paper's argument, and we are making it against ourselves.</w:t>
      </w:r>
    </w:p>
    <w:p>
      <w:r>
        <w:t>The transcriptomic screen that formed the original submission remains in the paper, now as the second demonstration of the same mechanism in a modality that shares no biology with the imaging cohort. We have cut four sections and roughly 3,300 words from it to keep the imaging result in front. Three endpoints across the two arms returned nulls reached by criteria fixed before the data could speak, and we report them as nulls.</w:t>
      </w:r>
    </w:p>
    <w:p>
      <w:r>
        <w:t>We are explicit about scope. Fifty-nine patients, one pre-trained model, one archive, and cancer patients scanned for staging rather than patients with heart failure. This is a bounded reproducibility result about automated measurement under reconstruction change, not a claim about cardiac disease.</w:t>
      </w:r>
    </w:p>
    <w:p>
      <w:r>
        <w:t>The work is original, is not under consideration elsewhere, and all authors have approved the resubmission. No author holds an editorial or advisory role with Meta-Radiology. All data are public and all code, the dated pre-specification with its amendments, per-series segmentation output and every derived table are available in the accompanying repository.</w:t>
      </w:r>
    </w:p>
    <w:p>
      <w:r>
        <w:t>Thank you for considering the manuscript.</w:t>
      </w:r>
    </w:p>
    <w:p>
      <w:r>
        <w:t>Sincerely,</w:t>
      </w:r>
    </w:p>
    <w:p>
      <w:r>
        <w:t>Nicolas Avelar, on behalf of the authors</w:t>
      </w:r>
    </w:p>
    <w:p>
      <w:r>
        <w:t>School of Computing, University of Georgia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