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Times New Roman" w:hAnsi="Times New Roman"/>
          <w:b w:val="0"/>
          <w:sz w:val="20"/>
        </w:rPr>
        <w:t>Nicolas Avelar</w:t>
      </w:r>
    </w:p>
    <w:p>
      <w:pPr>
        <w:spacing w:after="0"/>
      </w:pPr>
      <w:r>
        <w:rPr>
          <w:rFonts w:ascii="Times New Roman" w:hAnsi="Times New Roman"/>
          <w:b w:val="0"/>
          <w:sz w:val="20"/>
        </w:rPr>
        <w:t>School of Computing, University of Georgia</w:t>
      </w:r>
    </w:p>
    <w:p>
      <w:pPr>
        <w:spacing w:after="0"/>
      </w:pPr>
      <w:r>
        <w:rPr>
          <w:rFonts w:ascii="Times New Roman" w:hAnsi="Times New Roman"/>
          <w:b w:val="0"/>
          <w:sz w:val="20"/>
        </w:rPr>
        <w:t>200 D.W. Brooks Drive, Athens, GA 30602, USA</w:t>
      </w:r>
    </w:p>
    <w:p>
      <w:pPr>
        <w:spacing w:after="0"/>
      </w:pPr>
      <w:r>
        <w:rPr>
          <w:rFonts w:ascii="Times New Roman" w:hAnsi="Times New Roman"/>
          <w:b w:val="0"/>
          <w:sz w:val="20"/>
        </w:rPr>
        <w:t>navelar773@gmail.com</w:t>
      </w:r>
    </w:p>
    <w:p>
      <w:pPr>
        <w:spacing w:after="160"/>
      </w:pPr>
      <w:r>
        <w:rPr>
          <w:rFonts w:ascii="Times New Roman" w:hAnsi="Times New Roman"/>
          <w:b w:val="0"/>
          <w:sz w:val="22"/>
        </w:rPr>
      </w:r>
    </w:p>
    <w:p>
      <w:pPr>
        <w:spacing w:after="80"/>
      </w:pPr>
      <w:r>
        <w:rPr>
          <w:rFonts w:ascii="Times New Roman" w:hAnsi="Times New Roman"/>
          <w:b/>
          <w:sz w:val="22"/>
        </w:rPr>
        <w:t>Manuscript number: METRAD-S-26-00342</w:t>
      </w:r>
    </w:p>
    <w:p>
      <w:pPr>
        <w:spacing w:after="280"/>
      </w:pPr>
      <w:r>
        <w:rPr>
          <w:rFonts w:ascii="Times New Roman" w:hAnsi="Times New Roman"/>
          <w:b w:val="0"/>
          <w:sz w:val="22"/>
        </w:rPr>
        <w:t>Article type: VSI: Autonomous Agents for Radiology Research</w:t>
      </w:r>
    </w:p>
    <w:p>
      <w:pPr>
        <w:spacing w:after="240"/>
      </w:pPr>
      <w:r>
        <w:rPr>
          <w:rFonts w:ascii="Times New Roman" w:hAnsi="Times New Roman"/>
          <w:b w:val="0"/>
          <w:sz w:val="22"/>
        </w:rPr>
        <w:t>Dear Editors,</w:t>
      </w:r>
    </w:p>
    <w:p>
      <w:pPr>
        <w:spacing w:after="220"/>
      </w:pPr>
      <w:r>
        <w:rPr>
          <w:rFonts w:ascii="Times New Roman" w:hAnsi="Times New Roman"/>
          <w:b w:val="0"/>
          <w:sz w:val="22"/>
        </w:rPr>
        <w:t>We submit "A multi-agent skill pipeline finds no tumor-selective heart-failure ligand–receptor axis across 30 tumor types under rank-based source criteria" for the special issue "Autonomous Agents for Radiology Research."</w:t>
      </w:r>
    </w:p>
    <w:p>
      <w:pPr>
        <w:spacing w:after="220"/>
      </w:pPr>
      <w:r>
        <w:rPr>
          <w:rFonts w:ascii="Times New Roman" w:hAnsi="Times New Roman"/>
          <w:b w:val="0"/>
          <w:sz w:val="22"/>
        </w:rPr>
        <w:t>The contribution is an architecture for delegated analysis. Methodological requirements travel with the code as executable assertions rather than as prose in a methods section, so a violated requirement halts the run instead of producing a plausible-looking number, and it cannot be silently dropped by whoever executes the pipeline next. That mechanism is independent of the data modality it is pointed at. We think it speaks directly to this call's interest in interpretable and trustworthy autonomous agents, where the open problem is not whether an agent can execute a pipeline but whether anyone can verify what it did.</w:t>
      </w:r>
    </w:p>
    <w:p>
      <w:pPr>
        <w:spacing w:after="220"/>
      </w:pPr>
      <w:r>
        <w:rPr>
          <w:rFonts w:ascii="Times New Roman" w:hAnsi="Times New Roman"/>
          <w:b w:val="0"/>
          <w:sz w:val="22"/>
        </w:rPr>
        <w:t>The paper reports the system as measured rather than described: 23 sub-agents across five dispatch waves, 141 guardrail checks distributed over six reusable modules, with the delegation topology, wall-clock cost and failure modes given. Two of those guardrails proved load-bearing, and each was written after the pipeline made the error it now prevents. Without an absolute expression floor, expression-matched random receptor sets reproduced our ranking (rho 0.363 versus 0.107 with the floor), and only 4 of 30 tumor types exceeded a matched null that a naive background pool would have passed.</w:t>
      </w:r>
    </w:p>
    <w:p>
      <w:pPr>
        <w:spacing w:after="220"/>
      </w:pPr>
      <w:r>
        <w:rPr>
          <w:rFonts w:ascii="Times New Roman" w:hAnsi="Times New Roman"/>
          <w:b w:val="0"/>
          <w:sz w:val="22"/>
        </w:rPr>
        <w:t>The heart-failure screen is the case study that stress-tests the architecture, and it earns that role by being the analysis in which the guardrails actually fired. Of 146 ligand-receptor-subunit axes, none paired a cardiac-distinctive ligand with a receptor enriched over matched adjacent normal tissue. An earlier draft carried a positive result in its place: re-scoring cardiac source by failure induction appeared to recover seven pleiotrophin axes, and pre-specified kill criteria then withdrew all seven. That withdrawal is in the paper, as is a log of 264 controls and verdicts including 19 recorded failures.</w:t>
      </w:r>
    </w:p>
    <w:p>
      <w:pPr>
        <w:spacing w:after="220"/>
      </w:pPr>
      <w:r>
        <w:rPr>
          <w:rFonts w:ascii="Times New Roman" w:hAnsi="Times New Roman"/>
          <w:b w:val="0"/>
          <w:sz w:val="22"/>
        </w:rPr>
        <w:t>Declarations: the work is original, is not under consideration elsewhere, and all three authors approve submission. The authors declare no competing interests, and no author holds an editorial or advisory role with this journal. No external funding was received. The study re-analyzed only de-identified public datasets, so it involved no clinical trial, human participants, or animals, and no ethics approval was required beyond that held by the original data-generating studies. Generative AI was used in manuscript preparation and to execute the analysis; both uses are disclosed in the manuscript.</w:t>
      </w:r>
    </w:p>
    <w:p>
      <w:pPr>
        <w:spacing w:after="220"/>
      </w:pPr>
      <w:r>
        <w:rPr>
          <w:rFonts w:ascii="Times New Roman" w:hAnsi="Times New Roman"/>
          <w:b w:val="0"/>
          <w:sz w:val="22"/>
        </w:rPr>
        <w:t>All analysis code, the 68 result tables, the pre-specifications for all three phases, and the control log are available at https://github.com/nav92061/hf-crosstalk, and every figure regenerates from the released tables with no network access required.</w:t>
      </w:r>
    </w:p>
    <w:p>
      <w:pPr>
        <w:spacing w:after="220"/>
      </w:pPr>
      <w:r>
        <w:rPr>
          <w:rFonts w:ascii="Times New Roman" w:hAnsi="Times New Roman"/>
          <w:b w:val="0"/>
          <w:sz w:val="22"/>
        </w:rPr>
        <w:t>We would prefer the CC BY licence.</w:t>
      </w:r>
    </w:p>
    <w:p>
      <w:pPr>
        <w:spacing w:after="220"/>
      </w:pPr>
      <w:r>
        <w:rPr>
          <w:rFonts w:ascii="Times New Roman" w:hAnsi="Times New Roman"/>
          <w:b w:val="0"/>
          <w:sz w:val="22"/>
        </w:rPr>
        <w:t>Thank you for considering the manuscript.</w:t>
      </w:r>
    </w:p>
    <w:p>
      <w:pPr>
        <w:spacing w:after="320"/>
      </w:pPr>
      <w:r>
        <w:rPr>
          <w:rFonts w:ascii="Times New Roman" w:hAnsi="Times New Roman"/>
          <w:b w:val="0"/>
          <w:sz w:val="22"/>
        </w:rPr>
        <w:t>Sincerely,</w:t>
      </w:r>
    </w:p>
    <w:p>
      <w:pPr>
        <w:spacing w:after="0"/>
      </w:pPr>
      <w:r>
        <w:rPr>
          <w:rFonts w:ascii="Times New Roman" w:hAnsi="Times New Roman"/>
          <w:b w:val="0"/>
          <w:sz w:val="22"/>
        </w:rPr>
        <w:t>Nicolas Avelar</w:t>
      </w:r>
    </w:p>
    <w:p>
      <w:pPr>
        <w:spacing w:after="0"/>
      </w:pPr>
      <w:r>
        <w:rPr>
          <w:rFonts w:ascii="Times New Roman" w:hAnsi="Times New Roman"/>
          <w:b w:val="0"/>
          <w:sz w:val="20"/>
        </w:rPr>
        <w:t>on behalf of all authors</w:t>
      </w:r>
    </w:p>
    <w:p>
      <w:pPr>
        <w:spacing w:after="0"/>
      </w:pPr>
      <w:r>
        <w:rPr>
          <w:rFonts w:ascii="Times New Roman" w:hAnsi="Times New Roman"/>
          <w:b w:val="0"/>
          <w:sz w:val="20"/>
        </w:rPr>
        <w:t>navelar773@gmail.com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