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6"/>
        </w:rPr>
        <w:t>Ethics Approval</w:t>
      </w:r>
    </w:p>
    <w:p>
      <w:r>
        <w:rPr>
          <w:rFonts w:ascii="Times New Roman" w:hAnsi="Times New Roman"/>
          <w:b w:val="0"/>
          <w:i w:val="0"/>
          <w:sz w:val="20"/>
        </w:rPr>
        <w:t>Manuscript: A multi-agent skill pipeline finds no tumor-selective heart-failure ligand–receptor axis across 30 tumor types under rank-based source criteria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/>
          <w:i w:val="0"/>
          <w:sz w:val="22"/>
        </w:rPr>
        <w:t>Ethics Approval: Not applicable.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This study exclusively re-analyzed de-identified, publicly available human genomic, transcriptomic, and proteomic datasets (Gene Expression Omnibus, TCGA PanCanAtlas, CPTAC/Proteomic Data Commons, GTEx, DepMap, CELLxGENE Census; Section 2.1). No new human subjects data were collected and no additional ethics approval was sought beyond that obtained by the original data-generating studies, consistent with their terms of use.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No clinical trial is associated with this work, so no trial registration number applies.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