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Highlights</w:t>
      </w:r>
    </w:p>
    <w:p>
      <w:pPr>
        <w:pStyle w:val="ListBullet"/>
      </w:pPr>
      <w:r>
        <w:t>Multi-agent pipeline screened heart-failure ligands against 30 tumor types</w:t>
      </w:r>
    </w:p>
    <w:p>
      <w:pPr>
        <w:pStyle w:val="ListBullet"/>
      </w:pPr>
      <w:r>
        <w:t>No cardiac-specific ligand had a tumor-enriched receptor under rank-based criteria</w:t>
      </w:r>
    </w:p>
    <w:p>
      <w:pPr>
        <w:pStyle w:val="ListBullet"/>
      </w:pPr>
      <w:r>
        <w:t>NPR1 is depleted in tumor versus adjacent normal in all 15 testable types</w:t>
      </w:r>
    </w:p>
    <w:p>
      <w:pPr>
        <w:pStyle w:val="ListBullet"/>
      </w:pPr>
      <w:r>
        <w:t>An expression floor was load-bearing: random sets otherwise reproduced the rank</w:t>
      </w:r>
    </w:p>
    <w:p>
      <w:pPr>
        <w:pStyle w:val="ListBullet"/>
      </w:pPr>
      <w:r>
        <w:t>Pre-set kill criteria withdrew all seven recovered pleiotrophin axes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