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Highlights</w:t>
      </w:r>
    </w:p>
    <w:p>
      <w:r>
        <w:t>Same-acquisition CT pairs isolate reconstruction effects from anatomy: 193 pairs</w:t>
      </w:r>
    </w:p>
    <w:p>
      <w:r>
        <w:t>AI heart volume shifts 0.6% across kernels; pulmonary vein 5.0%, an 8-fold gap</w:t>
      </w:r>
    </w:p>
    <w:p>
      <w:r>
        <w:t>Reconstructions of one scan do not share z-coverage; rho 0.70 with volume error</w:t>
      </w:r>
    </w:p>
    <w:p>
      <w:r>
        <w:t>That false assumption was in our own prespecification, where it could not fail</w:t>
      </w:r>
    </w:p>
    <w:p>
      <w:r>
        <w:t>Segmentation failed on 4 of 217 series, all archive faults, not model faults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