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4E79"/>
          <w:sz w:val="56"/>
        </w:rPr>
        <w:t>PHARMA LMS</w:t>
        <w:br/>
        <w:t>KNOWLEDGE BASE</w:t>
      </w:r>
    </w:p>
    <w:p>
      <w:pPr>
        <w:jc w:val="center"/>
      </w:pPr>
      <w:r>
        <w:rPr>
          <w:rFonts w:ascii="Aptos" w:hAnsi="Aptos"/>
          <w:b/>
          <w:color w:val="0F766E"/>
          <w:sz w:val="26"/>
        </w:rPr>
        <w:t>Architecture | Functional Scope | Compliance Controls | Validation Evidence</w:t>
      </w:r>
    </w:p>
    <w:p>
      <w:pPr>
        <w:jc w:val="center"/>
      </w:pPr>
      <w:r>
        <w:rPr>
          <w:rFonts w:ascii="Aptos" w:hAnsi="Aptos"/>
          <w:color w:val="667085"/>
          <w:sz w:val="20"/>
        </w:rPr>
        <w:t>Reference systems: Caliber EPIQ learn-iq, docs-iq to learn-iq IQM, Alfa Biomed LMS URS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Document Attribute</w:t>
            </w:r>
          </w:p>
        </w:tc>
        <w:tc>
          <w:tcPr>
            <w:tcW w:type="dxa" w:w="6912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7"/>
              </w:rPr>
              <w:t>Primary audience</w:t>
            </w:r>
          </w:p>
        </w:tc>
        <w:tc>
          <w:tcPr>
            <w:tcW w:type="dxa" w:w="69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7"/>
              </w:rPr>
              <w:t>Technology leadership, product managers, validation leads, QA, developers</w:t>
            </w:r>
          </w:p>
        </w:tc>
      </w:tr>
      <w:tr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7"/>
              </w:rPr>
              <w:t>Document type</w:t>
            </w:r>
          </w:p>
        </w:tc>
        <w:tc>
          <w:tcPr>
            <w:tcW w:type="dxa" w:w="69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7"/>
              </w:rPr>
              <w:t>Technical knowledge base and architecture reference</w:t>
            </w:r>
          </w:p>
        </w:tc>
      </w:tr>
      <w:tr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7"/>
              </w:rPr>
              <w:t>Prepared for</w:t>
            </w:r>
          </w:p>
        </w:tc>
        <w:tc>
          <w:tcPr>
            <w:tcW w:type="dxa" w:w="69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7"/>
              </w:rPr>
              <w:t>Vyuh Tech / Pharma LMS product development</w:t>
            </w:r>
          </w:p>
        </w:tc>
      </w:tr>
      <w:tr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7"/>
              </w:rPr>
              <w:t>Revision date</w:t>
            </w:r>
          </w:p>
        </w:tc>
        <w:tc>
          <w:tcPr>
            <w:tcW w:type="dxa" w:w="69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7"/>
              </w:rPr>
              <w:t>28 Apr 2026</w:t>
            </w:r>
          </w:p>
        </w:tc>
      </w:tr>
      <w:tr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7"/>
              </w:rPr>
              <w:t>Confidentiality</w:t>
            </w:r>
          </w:p>
        </w:tc>
        <w:tc>
          <w:tcPr>
            <w:tcW w:type="dxa" w:w="69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7"/>
              </w:rPr>
              <w:t>Confidential working reference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6FFFA"/>
            <w:tcBorders>
              <w:top w:val="single" w:sz="4" w:space="0" w:color="BFD7F5"/>
              <w:left w:val="single" w:sz="4" w:space="0" w:color="BFD7F5"/>
              <w:bottom w:val="single" w:sz="4" w:space="0" w:color="BFD7F5"/>
              <w:right w:val="single" w:sz="4" w:space="0" w:color="BFD7F5"/>
              <w:insideH w:val="single" w:sz="4" w:space="0" w:color="BFD7F5"/>
              <w:insideV w:val="single" w:sz="4" w:space="0" w:color="BFD7F5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ptos" w:hAnsi="Aptos"/>
                <w:b/>
                <w:color w:val="0F766E"/>
                <w:sz w:val="19"/>
              </w:rPr>
              <w:t>Technical-writing approach</w:t>
            </w:r>
          </w:p>
          <w:p>
            <w:pPr>
              <w:spacing w:after="0"/>
            </w:pPr>
            <w:r>
              <w:rPr>
                <w:rFonts w:ascii="Aptos" w:hAnsi="Aptos"/>
                <w:color w:val="1D2939"/>
                <w:sz w:val="18"/>
              </w:rPr>
              <w:t>This revision follows product-docs principles: write for the reader's work, keep the structure task-oriented, prefer concrete examples over generic claims, separate facts from recommendations, and make maintenance ownership visible.</w:t>
            </w:r>
          </w:p>
        </w:tc>
      </w:tr>
    </w:tbl>
    <w:p/>
    <w:p>
      <w:pPr>
        <w:sectPr>
          <w:footerReference w:type="default" r:id="rId11"/>
          <w:pgSz w:w="12240" w:h="15840"/>
          <w:pgMar w:top="864" w:right="1008" w:bottom="792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1. Source Basis and How to Use This Document</w:t>
      </w:r>
    </w:p>
    <w:p>
      <w:r>
        <w:rPr>
          <w:rFonts w:ascii="Aptos" w:hAnsi="Aptos"/>
          <w:b w:val="0"/>
          <w:i w:val="0"/>
          <w:sz w:val="19"/>
        </w:rPr>
        <w:t>This knowledge base consolidates the product scope, regulated architecture, operating workflows, and validation evidence for a pharmaceutical Learning Management System. It is not a marketing brief. It is a working reference for deciding what the LMS must do, how it should be structured, and which controls must be preserved during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696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How it was used</w:t>
            </w:r>
          </w:p>
        </w:tc>
      </w:tr>
      <w:tr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Pharma_LMS_Knowledge_Base.docx</w:t>
            </w:r>
          </w:p>
        </w:tc>
        <w:tc>
          <w:tcPr>
            <w:tcW w:type="dxa" w:w="669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Baseline structure, regulatory framing, and existing product-scope catalog.</w:t>
            </w:r>
          </w:p>
        </w:tc>
      </w:tr>
      <w:tr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usermANUAL.pdf</w:t>
            </w:r>
          </w:p>
        </w:tc>
        <w:tc>
          <w:tcPr>
            <w:tcW w:type="dxa" w:w="669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Learn-iq operational modules, server/client requirements, object workflow, course/session steps, reports, and audit-trail screens.</w:t>
            </w:r>
          </w:p>
        </w:tc>
      </w:tr>
      <w:tr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Learn IQ _ URS.pdf</w:t>
            </w:r>
          </w:p>
        </w:tc>
        <w:tc>
          <w:tcPr>
            <w:tcW w:type="dxa" w:w="669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Alfa Biomed URS: security, regulatory, operational, DMS integration, GMP, data integrity, recovery, support, and retirement requirements.</w:t>
            </w:r>
          </w:p>
        </w:tc>
      </w:tr>
      <w:tr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Pharma_LMS_Textbook.docx</w:t>
            </w:r>
          </w:p>
        </w:tc>
        <w:tc>
          <w:tcPr>
            <w:tcW w:type="dxa" w:w="669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Training-domain explanation, role model, lifecycle model, compliance rationale, and EPIQ platform context.</w:t>
            </w:r>
          </w:p>
        </w:tc>
      </w:tr>
      <w:tr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Docs-iq to Learn-iq IQM OQ PDFs</w:t>
            </w:r>
          </w:p>
        </w:tc>
        <w:tc>
          <w:tcPr>
            <w:tcW w:type="dxa" w:w="669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Integration qualification flow for document-driven training tasks, external training request/closure, audit trail verification, e-signature prompts, and OQ result context.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Borders>
              <w:top w:val="single" w:sz="4" w:space="0" w:color="BFD7F5"/>
              <w:left w:val="single" w:sz="4" w:space="0" w:color="BFD7F5"/>
              <w:bottom w:val="single" w:sz="4" w:space="0" w:color="BFD7F5"/>
              <w:right w:val="single" w:sz="4" w:space="0" w:color="BFD7F5"/>
              <w:insideH w:val="single" w:sz="4" w:space="0" w:color="BFD7F5"/>
              <w:insideV w:val="single" w:sz="4" w:space="0" w:color="BFD7F5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ptos" w:hAnsi="Aptos"/>
                <w:b/>
                <w:color w:val="1F4E79"/>
                <w:sz w:val="19"/>
              </w:rPr>
              <w:t>Scope statement</w:t>
            </w:r>
          </w:p>
          <w:p>
            <w:pPr>
              <w:spacing w:after="0"/>
            </w:pPr>
            <w:r>
              <w:rPr>
                <w:rFonts w:ascii="Aptos" w:hAnsi="Aptos"/>
                <w:color w:val="1D2939"/>
                <w:sz w:val="18"/>
              </w:rPr>
              <w:t>The LMS must be treated as a GxP compliance system: it controls training obligations, produces electronic records, enforces identity and authorization, and supplies evidence for inspections. The architecture must therefore be validated, auditable, and integrated with document and quality workflows.</w:t>
            </w:r>
          </w:p>
        </w:tc>
      </w:tr>
    </w:tbl>
    <w:p/>
    <w:p>
      <w:pPr>
        <w:pStyle w:val="Heading2"/>
      </w:pPr>
      <w:r>
        <w:t>1.1 Reader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Reader</w:t>
            </w:r>
          </w:p>
        </w:tc>
        <w:tc>
          <w:tcPr>
            <w:tcW w:type="dxa" w:w="2448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Start here</w:t>
            </w:r>
          </w:p>
        </w:tc>
        <w:tc>
          <w:tcPr>
            <w:tcW w:type="dxa" w:w="5472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Main questions answered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Product / engineering lead</w:t>
            </w:r>
          </w:p>
        </w:tc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Sections 2, 4, 5, 9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What do we build, how is it structured, and where are the hard boundaries?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QA / validation lead</w:t>
            </w:r>
          </w:p>
        </w:tc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Sections 3, 8, 10, 11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Which controls, records, and tests prove compliance?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Implementation team</w:t>
            </w:r>
          </w:p>
        </w:tc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Sections 5, 6, 7, 12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What workflows, roles, data objects, and integrations are required?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Business sponsor</w:t>
            </w:r>
          </w:p>
        </w:tc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Sections 2, 9, 13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What scope is mandatory, optional, or risky to defer?</w:t>
            </w:r>
          </w:p>
        </w:tc>
      </w:tr>
    </w:tbl>
    <w:p/>
    <w:p>
      <w:pPr>
        <w:pStyle w:val="Heading1"/>
      </w:pPr>
      <w:r>
        <w:t>2. Executive Summary</w:t>
      </w:r>
    </w:p>
    <w:p>
      <w:r>
        <w:rPr>
          <w:rFonts w:ascii="Aptos" w:hAnsi="Aptos"/>
          <w:b w:val="0"/>
          <w:i w:val="0"/>
          <w:sz w:val="19"/>
        </w:rPr>
        <w:t>A pharmaceutical LMS is a regulated training-control system, not a generic e-learning portal. Its core output is defensible evidence: who was trained, on which controlled content and version, when, by whom, with what result, under which electronic signature, and with what audit trail.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system must integrate with DMS/docs-iq so approved SOPs and document revisions can trigger training tasks without re-entering controlled content.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LMS must support role-based curriculum assignment, induction gating, periodic retraining, remedial training, external training, OJT, document reading, ILT, WBT, and blended learning.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Every GxP-relevant transaction must be protected by unique identity, access control, audit trail, e-signature linkage, reason/comment capture, and retained electronic records.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architecture must separate user experience, application services, compliance services, integration adapters, and persistent records so each layer can be validated and changed under control.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Validation evidence should trace URS requirements to functional/design controls and to IQ/OQ/PQ scripts, with special attention to failed or bug-linked OQ steps in the signed IQM evidence.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6"/>
            <w:tcBorders>
              <w:top w:val="single" w:sz="4" w:space="0" w:color="BFD7F5"/>
              <w:left w:val="single" w:sz="4" w:space="0" w:color="BFD7F5"/>
              <w:bottom w:val="single" w:sz="4" w:space="0" w:color="BFD7F5"/>
              <w:right w:val="single" w:sz="4" w:space="0" w:color="BFD7F5"/>
              <w:insideH w:val="single" w:sz="4" w:space="0" w:color="BFD7F5"/>
              <w:insideV w:val="single" w:sz="4" w:space="0" w:color="BFD7F5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ptos" w:hAnsi="Aptos"/>
                <w:b/>
                <w:color w:val="B7791F"/>
                <w:sz w:val="19"/>
              </w:rPr>
              <w:t>Key product decision</w:t>
            </w:r>
          </w:p>
          <w:p>
            <w:pPr>
              <w:spacing w:after="0"/>
            </w:pPr>
            <w:r>
              <w:rPr>
                <w:rFonts w:ascii="Aptos" w:hAnsi="Aptos"/>
                <w:color w:val="1D2939"/>
                <w:sz w:val="18"/>
              </w:rPr>
              <w:t>Do not scope the LMS as course delivery first and compliance second. In pharma, course delivery is one workflow inside a larger evidence-generation system.</w:t>
            </w:r>
          </w:p>
        </w:tc>
      </w:tr>
    </w:tbl>
    <w:p/>
    <w:p>
      <w:pPr>
        <w:pStyle w:val="Heading2"/>
      </w:pPr>
      <w:r>
        <w:t>2.1 What Makes Pharma LMS Different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672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Corporate LMS</w:t>
            </w:r>
          </w:p>
        </w:tc>
        <w:tc>
          <w:tcPr>
            <w:tcW w:type="dxa" w:w="4464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Pharma LMS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Primary outcome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Learning access and engagement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Inspection-ready proof of training and competency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Content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Courses and media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Controlled SOPs, policies, protocols, training materials, questionnaires, answer keys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Identity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Convenience login, often SSO only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Unique user ID, no generic accounts, password/e-signature controls, session logs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Records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Progress and scores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GxP records with audit trail, version, signature meaning, retention, and retrievability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Change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Content update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Controlled document revision, approval, retraining trigger, effectiveness evidence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Failure mode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Missed training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Potential GMP observation, CAPA delay, data integrity deficiency, or batch-release risk</w:t>
            </w:r>
          </w:p>
        </w:tc>
      </w:tr>
    </w:tbl>
    <w:p/>
    <w:p>
      <w:pPr>
        <w:pStyle w:val="Heading1"/>
      </w:pPr>
      <w:r>
        <w:t>3. Regulatory and Quality Framework</w:t>
      </w:r>
    </w:p>
    <w:p>
      <w:r>
        <w:rPr>
          <w:rFonts w:ascii="Aptos" w:hAnsi="Aptos"/>
          <w:b w:val="0"/>
          <w:i w:val="0"/>
          <w:sz w:val="19"/>
        </w:rPr>
        <w:t>The LMS must satisfy the combined expectations of electronic-record regulation, GMP training obligations, quality-system governance, and data-integrity principles. Requirements should be mapped to controls, not left as generic compliance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Framework</w:t>
            </w:r>
          </w:p>
        </w:tc>
        <w:tc>
          <w:tcPr>
            <w:tcW w:type="dxa" w:w="3816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LMS implication</w:t>
            </w:r>
          </w:p>
        </w:tc>
        <w:tc>
          <w:tcPr>
            <w:tcW w:type="dxa" w:w="4536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Required design response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21 CFR Part 11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Electronic records and e-signatures must be trustworthy, attributable, and linked to records.</w:t>
            </w:r>
          </w:p>
        </w:tc>
        <w:tc>
          <w:tcPr>
            <w:tcW w:type="dxa" w:w="45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Unique users, password policy, e-signature challenge, signature manifestation, secure audit trail, copy/export controls.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EU GMP Annex 11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Computerized systems must be validated, secure, auditable, backed up, and periodically reviewed.</w:t>
            </w:r>
          </w:p>
        </w:tc>
        <w:tc>
          <w:tcPr>
            <w:tcW w:type="dxa" w:w="45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CSV lifecycle, access management, audit trail review, backup/restore, incident/CAPA/change-control procedures.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GAMP 5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Validation effort must be risk-based and proportionate to system category/configuration.</w:t>
            </w:r>
          </w:p>
        </w:tc>
        <w:tc>
          <w:tcPr>
            <w:tcW w:type="dxa" w:w="45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URS-to-test traceability, supplier assessment, risk assessment, IQ/OQ/PQ, configuration and custom-code separation.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ICH Q10 / PQS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Training is part of the pharmaceutical quality system and supports CAPA, change control, deviation, and management review.</w:t>
            </w:r>
          </w:p>
        </w:tc>
        <w:tc>
          <w:tcPr>
            <w:tcW w:type="dxa" w:w="45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QMS integration, training effectiveness, periodic metrics, CAPA/deviation-triggered retraining.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ALCOA+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Data must be attributable, legible, contemporaneous, original, accurate, complete, consistent, enduring, and available.</w:t>
            </w:r>
          </w:p>
        </w:tc>
        <w:tc>
          <w:tcPr>
            <w:tcW w:type="dxa" w:w="45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Server time, append-only logs, no deletion, versioned records, durable storage, human-readable reports.</w:t>
            </w:r>
          </w:p>
        </w:tc>
      </w:tr>
    </w:tbl>
    <w:p/>
    <w:p>
      <w:pPr>
        <w:pStyle w:val="Heading2"/>
      </w:pPr>
      <w:r>
        <w:t>3.1 Non-Negotiable Compliance Controls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duplicate, shared, generic, reused, or deleted user accounts.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Passwords are masked, complex, aged, changed on first login, and protected from common-word administrator usage.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Account lockout occurs after configurable invalid attempts, with unauthorized login attempts logged.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Audit trail is computer-generated, time-stamped, always on, non-editable, non-deletable, printable, and retained with the related record.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Every critical transaction records who, when, what, previous value, new value, and reason/comment where applicable.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E-signatures show signer name, date/time, and meaning on screens, reports, and audit trails, and remain technologically linked to the record.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system clock is controlled by the server/time service; users cannot change date/time values to alter record chronology.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Electronic records and audit trails can be exported in complete human-readable and electronic forms for inspection.</w:t>
      </w:r>
    </w:p>
    <w:p>
      <w:pPr>
        <w:pStyle w:val="Heading1"/>
      </w:pPr>
      <w:r>
        <w:t>4. Architecture of a Pharmaceutical LMS</w:t>
      </w:r>
    </w:p>
    <w:p>
      <w:r>
        <w:rPr>
          <w:rFonts w:ascii="Aptos" w:hAnsi="Aptos"/>
          <w:b w:val="0"/>
          <w:i w:val="0"/>
          <w:sz w:val="19"/>
        </w:rPr>
        <w:t>The architecture should be organized as a controlled platform with distinct layers. The goal is to keep learning workflows flexible while keeping regulated evidence consistent, validated, and tamper-resistant.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671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7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/>
          <w:b w:val="0"/>
          <w:i/>
          <w:color w:val="667085"/>
          <w:sz w:val="19"/>
        </w:rPr>
        <w:t>Figure 1. Logical architecture for a validated pharma LMS.</w:t>
      </w:r>
    </w:p>
    <w:p>
      <w:r>
        <w:rPr>
          <w:rFonts w:ascii="Aptos" w:hAnsi="Aptos"/>
          <w:b/>
          <w:color w:val="667085"/>
          <w:sz w:val="16"/>
        </w:rPr>
        <w:t>Mermaid source: platform-level context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>flowchart LR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A[Users: Learner / Trainer / QA / Admin] --&gt; B[Web and Mobile UI]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--&gt; C[Application Services]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D[Compliance Services: Audit Trail + E-Signature + Workflow]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E[(Validated Records Repository)]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&lt;--&gt; F[Identity / AD / SSO]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&lt;--&gt; G[DMS / docs-iq]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&lt;--&gt; H[QMS: CAPA / Deviation / Change Control]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I[Email / Escalation Engine]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J[Reports and Inspection Exports]</w:t>
      </w:r>
    </w:p>
    <w:p/>
    <w:p>
      <w:pPr>
        <w:pStyle w:val="Heading2"/>
      </w:pPr>
      <w:r>
        <w:t>4.1 Layered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112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24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Validation concern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Experience layer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Role-specific screens for learner, trainer, coordinator, QA, auditor, and system administrator.</w:t>
            </w:r>
          </w:p>
        </w:tc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Screens must enforce role permissions and show correct record/signature context.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Application services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Courses, topics, TNI, GTP, sessions, attendance, assessments, feedback, reports, and dashboards.</w:t>
            </w:r>
          </w:p>
        </w:tc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Functional requirements, business rules, and workflow state transitions must be tested.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Compliance services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Audit trail, e-signature, standard reasons, workflow approvals, retention, user session logs.</w:t>
            </w:r>
          </w:p>
        </w:tc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Controls must be always-on and resistant to administrator bypass.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Integration services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DMS/docs-iq, QMS/CAPA/deviation, identity, email, calendar, reporting, archive.</w:t>
            </w:r>
          </w:p>
        </w:tc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Data exchange must preserve value and meaning; failures must be logged and recoverable.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Data layer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Master data, training records, version history, attachments, question banks, results, certificates, audit trail.</w:t>
            </w:r>
          </w:p>
        </w:tc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Records must be durable, attributable, backed up, retrievable, and migration-ready.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Operations layer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IIS/application hosting, database, backup/restore, monitoring, support, change control, environments.</w:t>
            </w:r>
          </w:p>
        </w:tc>
        <w:tc>
          <w:tcPr>
            <w:tcW w:type="dxa" w:w="32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IQ/OQ/PQ, backup restore tests, access to OS/database, and release governance.</w:t>
            </w:r>
          </w:p>
        </w:tc>
      </w:tr>
    </w:tbl>
    <w:p/>
    <w:p>
      <w:pPr>
        <w:pStyle w:val="Heading2"/>
      </w:pPr>
      <w:r>
        <w:t>4.2 Deployment Baseline from Learn-iq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608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Reference baseline</w:t>
            </w:r>
          </w:p>
        </w:tc>
        <w:tc>
          <w:tcPr>
            <w:tcW w:type="dxa" w:w="3816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Architecture note</w:t>
            </w:r>
          </w:p>
        </w:tc>
      </w:tr>
      <w:tr>
        <w:tc>
          <w:tcPr>
            <w:tcW w:type="dxa" w:w="1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Production server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Quad-core CPU, 3.4 GHz+, 32 GB RAM+, 1 TB+ expandable disk, 1 Gbps NIC.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Size for concurrent usage, reports, attachments, audit trail growth, and retention.</w:t>
            </w:r>
          </w:p>
        </w:tc>
      </w:tr>
      <w:tr>
        <w:tc>
          <w:tcPr>
            <w:tcW w:type="dxa" w:w="1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Server software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Windows Server 2016 64-bit, IIS 7.0+, .NET Framework 4.0, SQL Server 2014/2016.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Legacy EPIQ profile; new designs should document modern equivalents and validation impact.</w:t>
            </w:r>
          </w:p>
        </w:tc>
      </w:tr>
      <w:tr>
        <w:tc>
          <w:tcPr>
            <w:tcW w:type="dxa" w:w="1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Client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Windows 10, browser access, MS Excel for exports, 1024x768+ display.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Avoid hard dependency on obsolete plugins; design responsive tablet/shop-floor access.</w:t>
            </w:r>
          </w:p>
        </w:tc>
      </w:tr>
      <w:tr>
        <w:tc>
          <w:tcPr>
            <w:tcW w:type="dxa" w:w="1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Network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Minimum 10 Mbps; users may be at different site locations.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Network interruptions must not corrupt data during storage or workflow submission.</w:t>
            </w:r>
          </w:p>
        </w:tc>
      </w:tr>
      <w:tr>
        <w:tc>
          <w:tcPr>
            <w:tcW w:type="dxa" w:w="1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Availability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24x7 operation expected; RTO target in URS: 15 minutes.</w:t>
            </w:r>
          </w:p>
        </w:tc>
        <w:tc>
          <w:tcPr>
            <w:tcW w:type="dxa" w:w="38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High availability, backups, restore tests, DR procedures, and downtime communications are in scope.</w:t>
            </w:r>
          </w:p>
        </w:tc>
      </w:tr>
    </w:tbl>
    <w:p/>
    <w:p>
      <w:pPr>
        <w:pStyle w:val="Heading2"/>
      </w:pPr>
      <w:r>
        <w:t>4.3 Integration Architecture</w:t>
      </w:r>
    </w:p>
    <w:p>
      <w:r>
        <w:rPr>
          <w:rFonts w:ascii="Aptos" w:hAnsi="Aptos"/>
          <w:b w:val="0"/>
          <w:i w:val="0"/>
          <w:sz w:val="19"/>
        </w:rPr>
        <w:t>The OQ materials show that docs-iq to learn-iq integration is a core architecture concern, not an optional add-on. Document training tasks are initiated from controlled document workflows and then completed through learn-iq training execution and closure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302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Inbound to LMS</w:t>
            </w:r>
          </w:p>
        </w:tc>
        <w:tc>
          <w:tcPr>
            <w:tcW w:type="dxa" w:w="302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Outbound from LMS</w:t>
            </w:r>
          </w:p>
        </w:tc>
        <w:tc>
          <w:tcPr>
            <w:tcW w:type="dxa" w:w="2232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Controls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DMS / docs-iq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Approved document metadata, revision, training task, main/associate document relationship.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Training status, closure evidence, document-read completion, audit references.</w:t>
            </w:r>
          </w:p>
        </w:tc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Integration-required configuration, API hosting, sequence integrity, retries, audit trail.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QMS / CAPA / deviation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Training triggers linked to investigation, CAPA, deviation, change, or effectiveness action.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Completion, failure, overdue status, evidence package.</w:t>
            </w:r>
          </w:p>
        </w:tc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CAPA cannot close until required training evidence exists where procedure requires it.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Identity / directory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User identity, organizational hierarchy, status, plant/site context.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Session logs and access events may be reviewed by security/QA.</w:t>
            </w:r>
          </w:p>
        </w:tc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Unique user ID, no reuse, role/profile mapping, deactivation not deletion.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Email / notification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Template and event configuration.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Assignment, reminder, escalation, password and task notifications.</w:t>
            </w:r>
          </w:p>
        </w:tc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Only appropriate recipients receive security-sensitive notifications.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Reporting / archive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Validated record sources.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PDF/Word/Excel, printable reports, inspection exports, archived records.</w:t>
            </w:r>
          </w:p>
        </w:tc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Reports must preserve signature manifestation and audit context.</w:t>
            </w:r>
          </w:p>
        </w:tc>
      </w:tr>
    </w:tbl>
    <w:p/>
    <w:p>
      <w:pPr>
        <w:pStyle w:val="Heading1"/>
      </w:pPr>
      <w:r>
        <w:t>5. Complete Functional Scope</w:t>
      </w:r>
    </w:p>
    <w:p>
      <w:r>
        <w:rPr>
          <w:rFonts w:ascii="Aptos" w:hAnsi="Aptos"/>
          <w:b w:val="0"/>
          <w:i w:val="0"/>
          <w:sz w:val="19"/>
        </w:rPr>
        <w:t>The functional scope below combines the URS, user manual, textbook, and IQM evidence into a product map. Each capability should have clear ownership, record output, audit coverage, and validation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5832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Must cover</w:t>
            </w:r>
          </w:p>
        </w:tc>
        <w:tc>
          <w:tcPr>
            <w:tcW w:type="dxa" w:w="252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Primary records / evidence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System Manager</w:t>
            </w:r>
          </w:p>
        </w:tc>
        <w:tc>
          <w:tcPr>
            <w:tcW w:type="dxa" w:w="58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Roles, global profile, user profile, standard reasons, mail templates, biometrics where applicable, personal settings, training calendar, pending trainings, audit trails.</w:t>
            </w:r>
          </w:p>
        </w:tc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Role/profile audit trail, session log, standard reason records, user status history.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User groups and job responsibility</w:t>
            </w:r>
          </w:p>
        </w:tc>
        <w:tc>
          <w:tcPr>
            <w:tcW w:type="dxa" w:w="58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Subgroups, groups, subgroup assignment, departments, job responsibilities, acceptance, alternates, delegation.</w:t>
            </w:r>
          </w:p>
        </w:tc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Job responsibility current/history reports, user acceptance e-signature, group assignment audit trail.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Course Manager masters</w:t>
            </w:r>
          </w:p>
        </w:tc>
        <w:tc>
          <w:tcPr>
            <w:tcW w:type="dxa" w:w="58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Topics, courses, trainer qualification, venue, external trainers, format numbers, satisfaction scale, feedback/evaluation templates, question bank.</w:t>
            </w:r>
          </w:p>
        </w:tc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Master records, revisions, approval status, audit trail, question bank report.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Training planning</w:t>
            </w:r>
          </w:p>
        </w:tc>
        <w:tc>
          <w:tcPr>
            <w:tcW w:type="dxa" w:w="58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Group Training Plan, training schedule, periodic schedules, induction, OJT, course invitation, self-nomination, batch formation.</w:t>
            </w:r>
          </w:p>
        </w:tc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TNI/GTP records, schedule reports, batch records, invitation logs.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Execution and assessment</w:t>
            </w:r>
          </w:p>
        </w:tc>
        <w:tc>
          <w:tcPr>
            <w:tcW w:type="dxa" w:w="58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Document reading, course sessions, online/offline attendance, question paper, answer paper, system/manual evaluation, missed-question analysis, feedback, short/long-term evaluation.</w:t>
            </w:r>
          </w:p>
        </w:tc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Attendance, answers, marks, result, e-signature, feedback records, certificates.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External and completed training</w:t>
            </w:r>
          </w:p>
        </w:tc>
        <w:tc>
          <w:tcPr>
            <w:tcW w:type="dxa" w:w="58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External request, external training closure, vendor/webinar training, already completed training entry with evidence.</w:t>
            </w:r>
          </w:p>
        </w:tc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External request/closure records, attachments, print output, audit trail.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Retraining and termination</w:t>
            </w:r>
          </w:p>
        </w:tc>
        <w:tc>
          <w:tcPr>
            <w:tcW w:type="dxa" w:w="58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Course retraining, QP extension, pending task termination, remedial training, expiry-triggered retraining.</w:t>
            </w:r>
          </w:p>
        </w:tc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Retraining tasks, termination reason, overdue and pending reports.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Reports and dashboards</w:t>
            </w:r>
          </w:p>
        </w:tc>
        <w:tc>
          <w:tcPr>
            <w:tcW w:type="dxa" w:w="58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Qualified trainers, course/session lists, employee history, induction/OJT/self-study reports, pending acknowledgements, assessment release log, training card, group-wise users.</w:t>
            </w:r>
          </w:p>
        </w:tc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Printable/exportable reports with filter criteria and signature/audit context.</w:t>
            </w:r>
          </w:p>
        </w:tc>
      </w:tr>
    </w:tbl>
    <w:p/>
    <w:p>
      <w:pPr>
        <w:pStyle w:val="Heading2"/>
      </w:pPr>
      <w:r>
        <w:t>5.1 Training Modalities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Training type</w:t>
            </w:r>
          </w:p>
        </w:tc>
        <w:tc>
          <w:tcPr>
            <w:tcW w:type="dxa" w:w="4608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600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Controls to preserve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Document Reading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Learner reads one or more controlled documents without evaluation.</w:t>
            </w:r>
          </w:p>
        </w:tc>
        <w:tc>
          <w:tcPr>
            <w:tcW w:type="dxa" w:w="3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Document version, read acknowledgement, e-signature, completion date, pending report.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Internal Classroom / ILT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Trainer-led session for internal personnel.</w:t>
            </w:r>
          </w:p>
        </w:tc>
        <w:tc>
          <w:tcPr>
            <w:tcW w:type="dxa" w:w="3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Trainer qualification, venue, schedule, attendance, scanned sheet, marks/evaluation.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WBT / online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Learner completes web-based content and online assessment.</w:t>
            </w:r>
          </w:p>
        </w:tc>
        <w:tc>
          <w:tcPr>
            <w:tcW w:type="dxa" w:w="3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Access control, question paper, timed attempts, system scoring, missed-question analysis.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Blended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Mixed ILT and WBT for large release or multi-site training.</w:t>
            </w:r>
          </w:p>
        </w:tc>
        <w:tc>
          <w:tcPr>
            <w:tcW w:type="dxa" w:w="3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Percentage/eligibility rules, both session evidence types, common completion criteria.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On-the-Job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Practical competence built and observed over time.</w:t>
            </w:r>
          </w:p>
        </w:tc>
        <w:tc>
          <w:tcPr>
            <w:tcW w:type="dxa" w:w="3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OJT task, evaluator/trainer record, observation evidence, completion signature.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External training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Vendor, webinar, external trainer, or external course.</w:t>
            </w:r>
          </w:p>
        </w:tc>
        <w:tc>
          <w:tcPr>
            <w:tcW w:type="dxa" w:w="3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Request, closure, evidence attachment, topic/course mapping, audit trail.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Induction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Mandatory onboarding gate for new employees.</w:t>
            </w:r>
          </w:p>
        </w:tc>
        <w:tc>
          <w:tcPr>
            <w:tcW w:type="dxa" w:w="3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Induction-required flag, induction trainer group, completion before general course access.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Remedial / retraining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Corrective training after failure, expiry, CAPA, deviation, or periodic requirement.</w:t>
            </w:r>
          </w:p>
        </w:tc>
        <w:tc>
          <w:tcPr>
            <w:tcW w:type="dxa" w:w="3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Trigger source, due date, escalation, completion evidence, CAPA/QMS link.</w:t>
            </w:r>
          </w:p>
        </w:tc>
      </w:tr>
    </w:tbl>
    <w:p/>
    <w:p>
      <w:pPr>
        <w:pStyle w:val="Heading2"/>
      </w:pPr>
      <w:r>
        <w:t>5.2 Report Catalog</w:t>
      </w:r>
    </w:p>
    <w:p>
      <w:r>
        <w:rPr>
          <w:rFonts w:ascii="Aptos" w:hAnsi="Aptos"/>
          <w:b w:val="0"/>
          <w:i w:val="0"/>
          <w:sz w:val="19"/>
        </w:rPr>
        <w:t>Reports are not merely analytics. In a regulated LMS, reports are inspection artifacts. They must be filterable, printable, exportable, complete, and traceable to source records.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Qualified internal trainer, qualified external trainer, and qualified trainer course-list reports.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Course list, topic-course, date-wise session, complete course session, and terminated course session reports.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Individual employee report, employee training history, training card, group/subgroup user report, and job responsibility current/history reports.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Induction, OJT, self-study, document reading pending, pending course acknowledgement, pending employee list, and scheduled courses pending reports.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Question bank, assessment release log, QP extension log, training evaluation, external training closure, and dashboards for plant/month/status.</w:t>
      </w:r>
    </w:p>
    <w:p>
      <w:pPr>
        <w:pStyle w:val="Heading1"/>
      </w:pPr>
      <w:r>
        <w:t>6. Core Workflows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2612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61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/>
          <w:b w:val="0"/>
          <w:i/>
          <w:color w:val="667085"/>
          <w:sz w:val="19"/>
        </w:rPr>
        <w:t>Figure 2. Controlled training lifecycle with persistent compliance controls.</w:t>
      </w:r>
    </w:p>
    <w:p>
      <w:r>
        <w:rPr>
          <w:rFonts w:ascii="Aptos" w:hAnsi="Aptos"/>
          <w:b/>
          <w:color w:val="667085"/>
          <w:sz w:val="16"/>
        </w:rPr>
        <w:t>Mermaid source: docs-iq to learn-iq training-task flow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>flowchart TD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A[Controlled document approved in DMS/docs-iq] --&gt; B{Training task required?}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 No --&gt; C[Publish document without LMS task]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 Yes --&gt; D[Create / map Training Task]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E[learn-iq receives task and document metadata]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F[Course / topic / trainee selection]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F --&gt; G[Training session or document reading]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G --&gt; H[Assessment / attendance / acknowledgement]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H --&gt; I[E-signature and audit trail]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I --&gt; J[Completion or retraining decision]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J --&gt; K[Status returned to DMS / QMS evidence package]</w:t>
      </w:r>
    </w:p>
    <w:p/>
    <w:p>
      <w:pPr>
        <w:pStyle w:val="Heading2"/>
      </w:pPr>
      <w:r>
        <w:t>6.1 Generic Object Workflow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Authorized user initiates a master record, training object, schedule, session, or request.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System validates mandatory fields, acceptable value ranges, sequence, duplicate rules, role permissions, and plant context.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If approval is configured, the item enters an approval workflow; otherwise it becomes available for authorized use.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Approver reviews, accepts, rejects, returns, or requests modification with reason/comment and e-signature where required.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Approved/active objects become selectable in downstream workflows; inactive/obsolete objects remain historically retrievable.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Every create, modify, approve, return, reject, status change, and e-signature event is recorded in audit trail.</w:t>
      </w:r>
    </w:p>
    <w:p>
      <w:pPr>
        <w:pStyle w:val="Heading2"/>
      </w:pPr>
      <w:r>
        <w:t>6.2 Course Session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5904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System behavior</w:t>
            </w:r>
          </w:p>
        </w:tc>
        <w:tc>
          <w:tcPr>
            <w:tcW w:type="dxa" w:w="2664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58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Create session</w:t>
            </w:r>
          </w:p>
        </w:tc>
        <w:tc>
          <w:tcPr>
            <w:tcW w:type="dxa" w:w="59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Select course, topic, trainer, trainee group, session type, mode, venue/date/time, evaluation method.</w:t>
            </w:r>
          </w:p>
        </w:tc>
        <w:tc>
          <w:tcPr>
            <w:tcW w:type="dxa" w:w="26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Session registration record and audit trail.</w:t>
            </w:r>
          </w:p>
        </w:tc>
      </w:tr>
      <w:tr>
        <w:tc>
          <w:tcPr>
            <w:tcW w:type="dxa" w:w="158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Prepare question paper</w:t>
            </w:r>
          </w:p>
        </w:tc>
        <w:tc>
          <w:tcPr>
            <w:tcW w:type="dxa" w:w="59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Generate/select questions from approved bank when examination is required.</w:t>
            </w:r>
          </w:p>
        </w:tc>
        <w:tc>
          <w:tcPr>
            <w:tcW w:type="dxa" w:w="26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Question paper and versioned answer key.</w:t>
            </w:r>
          </w:p>
        </w:tc>
      </w:tr>
      <w:tr>
        <w:tc>
          <w:tcPr>
            <w:tcW w:type="dxa" w:w="158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Invite / assign</w:t>
            </w:r>
          </w:p>
        </w:tc>
        <w:tc>
          <w:tcPr>
            <w:tcW w:type="dxa" w:w="59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Learners receive task, calendar entry, and pending training visibility.</w:t>
            </w:r>
          </w:p>
        </w:tc>
        <w:tc>
          <w:tcPr>
            <w:tcW w:type="dxa" w:w="26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Notification log and to-do assignment.</w:t>
            </w:r>
          </w:p>
        </w:tc>
      </w:tr>
      <w:tr>
        <w:tc>
          <w:tcPr>
            <w:tcW w:type="dxa" w:w="158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Record attendance</w:t>
            </w:r>
          </w:p>
        </w:tc>
        <w:tc>
          <w:tcPr>
            <w:tcW w:type="dxa" w:w="59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Capture actual start/end time and batch attendance; upload scanned attendance sheet where used.</w:t>
            </w:r>
          </w:p>
        </w:tc>
        <w:tc>
          <w:tcPr>
            <w:tcW w:type="dxa" w:w="26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Attendance record and attachment.</w:t>
            </w:r>
          </w:p>
        </w:tc>
      </w:tr>
      <w:tr>
        <w:tc>
          <w:tcPr>
            <w:tcW w:type="dxa" w:w="158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Assess</w:t>
            </w:r>
          </w:p>
        </w:tc>
        <w:tc>
          <w:tcPr>
            <w:tcW w:type="dxa" w:w="59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System or manual evaluator scores responses and declares qualified/retraining status.</w:t>
            </w:r>
          </w:p>
        </w:tc>
        <w:tc>
          <w:tcPr>
            <w:tcW w:type="dxa" w:w="26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Answer paper, marks, evaluator action, result.</w:t>
            </w:r>
          </w:p>
        </w:tc>
      </w:tr>
      <w:tr>
        <w:tc>
          <w:tcPr>
            <w:tcW w:type="dxa" w:w="158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Close</w:t>
            </w:r>
          </w:p>
        </w:tc>
        <w:tc>
          <w:tcPr>
            <w:tcW w:type="dxa" w:w="59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Capture e-signature, certificate/completion, feedback or effectiveness evaluation where applicable.</w:t>
            </w:r>
          </w:p>
        </w:tc>
        <w:tc>
          <w:tcPr>
            <w:tcW w:type="dxa" w:w="26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Certificate, completion report, audit trail.</w:t>
            </w:r>
          </w:p>
        </w:tc>
      </w:tr>
    </w:tbl>
    <w:p/>
    <w:p>
      <w:pPr>
        <w:pStyle w:val="Heading2"/>
      </w:pPr>
      <w:r>
        <w:t>6.3 External Training Request and Closure</w:t>
      </w:r>
    </w:p>
    <w:p>
      <w:r>
        <w:rPr>
          <w:rFonts w:ascii="Aptos" w:hAnsi="Aptos"/>
          <w:b w:val="0"/>
          <w:i w:val="0"/>
          <w:sz w:val="19"/>
        </w:rPr>
        <w:t>The IQM OQ scripts emphasize external training as a cross-module flow. Courses and topics are selected in learn-iq, external request records are created and revised, closure is performed with evidence, and the training task status is reflected back to docs-iq.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External training course must be registered with external-training option enabled and mapped topics.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Authorized user proposes external training request, searches/filters course and topic lists, submits the request, and receives confirmation.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Closure records capture remarks/reasons, completion details, print output, evidence attachments, and e-signature.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Audit trails must exist for course, topic, external request, external closure, and document publish/training task records.</w:t>
      </w:r>
    </w:p>
    <w:p>
      <w:pPr>
        <w:pStyle w:val="Heading1"/>
      </w:pPr>
      <w:r>
        <w:t>7. Roles, Permissions, and Data Model</w:t>
      </w:r>
    </w:p>
    <w:p>
      <w:pPr>
        <w:pStyle w:val="Heading2"/>
      </w:pPr>
      <w:r>
        <w:t>7.1 Role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responsibilities</w:t>
            </w:r>
          </w:p>
        </w:tc>
        <w:tc>
          <w:tcPr>
            <w:tcW w:type="dxa" w:w="2952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Permission posture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System Administrator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Configure security profile, roles, global profiles, standard reasons, mail settings, users, backup/support interfaces.</w:t>
            </w:r>
          </w:p>
        </w:tc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Broad configuration rights; must still be audited and cannot bypass compliance controls.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QA Head / QA Manager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Approve critical masters/workflows, review audit trails, oversee compliance, inspect obsolete/expired material.</w:t>
            </w:r>
          </w:p>
        </w:tc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High assurance reviewer; may access obsolete records and compliance reports.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Training Manager / Coordinator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Maintain training plans, schedules, sessions, trainers, venues, attendance, reports, and escalations.</w:t>
            </w:r>
          </w:p>
        </w:tc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Operational control within assigned plant/group scope.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Department Head / Manager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Review team training status, assign/confirm job responsibilities, ensure completion and effectiveness.</w:t>
            </w:r>
          </w:p>
        </w:tc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Read/act on assigned employee and department data.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Qualified Trainer / Evaluator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Conduct sessions, prepare or evaluate assessments, record attendance/marks, support effectiveness checks.</w:t>
            </w:r>
          </w:p>
        </w:tc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Limited to assigned courses/sessions and qualification scope.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Learner / Employee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Complete assigned reading, training, assessments, feedback, job responsibility acceptance, and personal settings.</w:t>
            </w:r>
          </w:p>
        </w:tc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Self-service only; no access to other employees' GxP records.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Auditor</w:t>
            </w:r>
          </w:p>
        </w:tc>
        <w:tc>
          <w:tcPr>
            <w:tcW w:type="dxa" w:w="511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Read-only inspection access to reports, audit trails, training history, and evidence packages.</w:t>
            </w:r>
          </w:p>
        </w:tc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No create/modify rights.</w:t>
            </w:r>
          </w:p>
        </w:tc>
      </w:tr>
    </w:tbl>
    <w:p/>
    <w:p>
      <w:pPr>
        <w:pStyle w:val="Heading2"/>
      </w:pPr>
      <w:r>
        <w:t>7.2 Core Data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5040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Key attributes</w:t>
            </w:r>
          </w:p>
        </w:tc>
        <w:tc>
          <w:tcPr>
            <w:tcW w:type="dxa" w:w="302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Relationships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User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User ID, employee code, name, department, designation, plant, status, role, manager, joining date.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Belongs to roles/groups/plants; receives TNI, tasks, sessions, records.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Role / profile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Category, role name, hierarchy level, global profile permissions, restricted user profile.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Controls allowed functions and data visibility.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Group / subgroup / department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Code, name, active status, member assignments.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Defines training populations and report filters.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Job responsibility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Role-based responsibilities, user acceptance, revision, alternate responsible person.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Drives curriculum assignment and content visibility.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Training material / document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Type, number, title, version, DMS reference, status, expiry, revision history.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Mapped to topics/courses/tasks and training records.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Topic / course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Topic, course name/code, trainer qualification, training method, validity, passing criteria.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Contains material, question bank, sessions, assessments.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Session / batch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Type, mode, schedule, trainee list, trainer, venue, start/end time, status.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Produces attendance, answers, results, feedback, certificates.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Assessment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Question paper, question bank, answer key, evaluator, score, attempts, missed questions.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Determines qualification or retraining requirement.</w:t>
            </w:r>
          </w:p>
        </w:tc>
      </w:tr>
      <w:tr>
        <w:tc>
          <w:tcPr>
            <w:tcW w:type="dxa" w:w="223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5"/>
              </w:rPr>
              <w:t>Audit trail</w:t>
            </w:r>
          </w:p>
        </w:tc>
        <w:tc>
          <w:tcPr>
            <w:tcW w:type="dxa" w:w="504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User, timestamp, action, record ID, before/after value, reason, e-signature meaning.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5"/>
              </w:rPr>
              <w:t>Attached to all GxP records and administrative changes.</w:t>
            </w:r>
          </w:p>
        </w:tc>
      </w:tr>
    </w:tbl>
    <w:p/>
    <w:p>
      <w:pPr>
        <w:pStyle w:val="Heading1"/>
      </w:pPr>
      <w:r>
        <w:t>8. Compliance Services Design</w:t>
      </w:r>
    </w:p>
    <w:p>
      <w:pPr>
        <w:pStyle w:val="Heading2"/>
      </w:pPr>
      <w:r>
        <w:t>8.1 Audit Trail Service</w:t>
      </w:r>
    </w:p>
    <w:p>
      <w:r>
        <w:rPr>
          <w:rFonts w:ascii="Aptos" w:hAnsi="Aptos"/>
          <w:b w:val="0"/>
          <w:i w:val="0"/>
          <w:sz w:val="19"/>
        </w:rPr>
        <w:t>Audit trail should be a platform service rather than a screen-specific feature. Every module calls the same audit service so record structure, server time, reason/comment capture, and report behavior remain consistent.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56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Design expectation</w:t>
            </w:r>
          </w:p>
        </w:tc>
      </w:tr>
      <w:tr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Always on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No role, including administrator, can disable or pause audit trail recording.</w:t>
            </w:r>
          </w:p>
        </w:tc>
      </w:tr>
      <w:tr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Server time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Timestamp is derived from controlled server/time service, not client workstation time.</w:t>
            </w:r>
          </w:p>
        </w:tc>
      </w:tr>
      <w:tr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Before/after values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Modified records capture old value, new value, reason/comment, user, role, and signature meaning where applicable.</w:t>
            </w:r>
          </w:p>
        </w:tc>
      </w:tr>
      <w:tr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Immutable storage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Audit records are append-only, not editable, not deletable, and protected from external file manipulation.</w:t>
            </w:r>
          </w:p>
        </w:tc>
      </w:tr>
      <w:tr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Human-readable output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Authorized users can view, filter, print, and export audit trail records without losing meaning.</w:t>
            </w:r>
          </w:p>
        </w:tc>
      </w:tr>
      <w:tr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Retention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Audit trail is retained at least as long as the linked GxP record and remains readable after upgrade/migration.</w:t>
            </w:r>
          </w:p>
        </w:tc>
      </w:tr>
    </w:tbl>
    <w:p/>
    <w:p>
      <w:pPr>
        <w:pStyle w:val="Heading2"/>
      </w:pPr>
      <w:r>
        <w:t>8.2 E-Signature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952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056"/>
            <w:shd w:fill="2F80ED"/>
            <w:tcBorders>
              <w:top w:val="single" w:sz="4" w:space="0" w:color="2F80ED"/>
              <w:left w:val="single" w:sz="4" w:space="0" w:color="2F80ED"/>
              <w:bottom w:val="single" w:sz="4" w:space="0" w:color="2F80ED"/>
              <w:right w:val="single" w:sz="4" w:space="0" w:color="2F80ED"/>
              <w:insideH w:val="single" w:sz="4" w:space="0" w:color="2F80ED"/>
              <w:insideV w:val="single" w:sz="4" w:space="0" w:color="2F80E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</w:t>
            </w:r>
          </w:p>
        </w:tc>
      </w:tr>
      <w:tr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First signature in session</w:t>
            </w:r>
          </w:p>
        </w:tc>
        <w:tc>
          <w:tcPr>
            <w:tcW w:type="dxa" w:w="705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Challenge for both user ID and password, or equivalent validated two-component design.</w:t>
            </w:r>
          </w:p>
        </w:tc>
      </w:tr>
      <w:tr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Subsequent continuous-session signatures</w:t>
            </w:r>
          </w:p>
        </w:tc>
        <w:tc>
          <w:tcPr>
            <w:tcW w:type="dxa" w:w="705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At minimum, password challenge; session continuity rules must be validated.</w:t>
            </w:r>
          </w:p>
        </w:tc>
      </w:tr>
      <w:tr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Signature manifestation</w:t>
            </w:r>
          </w:p>
        </w:tc>
        <w:tc>
          <w:tcPr>
            <w:tcW w:type="dxa" w:w="705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Show printed name, date/time, and meaning such as Review, Approve, Complete, Reject, Return.</w:t>
            </w:r>
          </w:p>
        </w:tc>
      </w:tr>
      <w:tr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Record linkage</w:t>
            </w:r>
          </w:p>
        </w:tc>
        <w:tc>
          <w:tcPr>
            <w:tcW w:type="dxa" w:w="705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Signature is technologically linked to the exact record/revision and cannot be copied to another record.</w:t>
            </w:r>
          </w:p>
        </w:tc>
      </w:tr>
      <w:tr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Uniqueness</w:t>
            </w:r>
          </w:p>
        </w:tc>
        <w:tc>
          <w:tcPr>
            <w:tcW w:type="dxa" w:w="705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Signature identity belongs to one individual only and cannot be reused or reassigned.</w:t>
            </w:r>
          </w:p>
        </w:tc>
      </w:tr>
      <w:tr>
        <w:tc>
          <w:tcPr>
            <w:tcW w:type="dxa" w:w="295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Critical actions</w:t>
            </w:r>
          </w:p>
        </w:tc>
        <w:tc>
          <w:tcPr>
            <w:tcW w:type="dxa" w:w="705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Create, modify, initiate, review, approve, accept, reject, return, attendance, assessment, and completion require signature rules by risk.</w:t>
            </w:r>
          </w:p>
        </w:tc>
      </w:tr>
    </w:tbl>
    <w:p/>
    <w:p>
      <w:pPr>
        <w:pStyle w:val="Heading2"/>
      </w:pPr>
      <w:r>
        <w:t>8.3 Data Integrity and Recovery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Application data, raw data, audit trails, and attachments must be stored in controlled server repositories, not Windows public folders.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Network failure during data storage must not change data value or meaning; transaction handling must ensure consistency.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Backups must include electronic records and audit trails; restore tests must be periodic and documented.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URS sets an RTO target of 15 minutes and expects high availability, redundancy, DR, business continuity, and system administration procedures.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Upgrade and migration plans must preserve readability and retrievability of old-version data.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Retirement/withdrawal plans must cover user deactivation, interface shutdown, retained GxP records, data reporting, result analysis, and disposal evidence.</w:t>
      </w:r>
    </w:p>
    <w:p>
      <w:pPr>
        <w:pStyle w:val="Heading1"/>
      </w:pPr>
      <w:r>
        <w:t>9. Validation and OQ Evidence</w:t>
      </w:r>
    </w:p>
    <w:p>
      <w:r>
        <w:rPr>
          <w:rFonts w:ascii="Aptos" w:hAnsi="Aptos"/>
          <w:b w:val="0"/>
          <w:i w:val="0"/>
          <w:sz w:val="19"/>
        </w:rPr>
        <w:t>Validation should demonstrate that the configured LMS and its integrations satisfy the URS under controlled conditions. The documents reviewed include IQM OQ scripts for docs-iq to learn-iq training-task integration and a signed OQ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20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Validation artifact</w:t>
            </w:r>
          </w:p>
        </w:tc>
        <w:tc>
          <w:tcPr>
            <w:tcW w:type="dxa" w:w="7560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Expected content</w:t>
            </w:r>
          </w:p>
        </w:tc>
      </w:tr>
      <w:tr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URS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Business, security, regulatory, operational, DMS integration, GMP, recovery, support, and retirement requirements.</w:t>
            </w:r>
          </w:p>
        </w:tc>
      </w:tr>
      <w:tr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Functional specification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Mapped behavior, screens, rules, workflows, reports, signatures, audit trails, integrations.</w:t>
            </w:r>
          </w:p>
        </w:tc>
      </w:tr>
      <w:tr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Risk assessment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GxP impact, data integrity risk, patient/product risk, mitigation controls, test depth.</w:t>
            </w:r>
          </w:p>
        </w:tc>
      </w:tr>
      <w:tr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Configuration specification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Roles, profiles, approval workflows, standard reasons, mail events, central integration flags.</w:t>
            </w:r>
          </w:p>
        </w:tc>
      </w:tr>
      <w:tr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IQ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Installation, server/client prerequisites, IIS/API hosting, database, environment, version, network.</w:t>
            </w:r>
          </w:p>
        </w:tc>
      </w:tr>
      <w:tr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OQ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Functional challenge tests: valid/invalid inputs, permissions, audit trails, e-signatures, reports, integration flow.</w:t>
            </w:r>
          </w:p>
        </w:tc>
      </w:tr>
      <w:tr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PQ/UAT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Site-specific business scenarios: actual departments, courses, induction, external training, CAPA/deviation retraining.</w:t>
            </w:r>
          </w:p>
        </w:tc>
      </w:tr>
      <w:tr>
        <w:tc>
          <w:tcPr>
            <w:tcW w:type="dxa" w:w="25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Traceability matrix</w:t>
            </w:r>
          </w:p>
        </w:tc>
        <w:tc>
          <w:tcPr>
            <w:tcW w:type="dxa" w:w="7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URS ID to FS/design, risk control, test script, execution result, defect/CAPA reference.</w:t>
            </w:r>
          </w:p>
        </w:tc>
      </w:tr>
    </w:tbl>
    <w:p/>
    <w:p>
      <w:pPr>
        <w:pStyle w:val="Heading2"/>
      </w:pPr>
      <w:r>
        <w:t>9.1 docs-iq to learn-iq IQM Flow Verified in OQ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IQM APIs for both products are hosted in IIS and IQM engine is running.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docs-iq to learn-iq integration is configured as required/Yes in central configuration.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Training Task is registered in docs-iq, mapped to main/associate document types, and uses zero approval workflow where scripted.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Retake Assessment Required and permissible document readings per day are configured as preconditions in the OQ flow.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External Training Request registration, course/topic search, closure, print output, and audit-trail screens are challenged.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Training task initiation in docs-iq receives/uses training details after learn-iq closure and e-signature.</w:t>
      </w:r>
    </w:p>
    <w:p>
      <w:pPr>
        <w:pStyle w:val="Heading2"/>
      </w:pPr>
      <w:r>
        <w:t>9.2 Signed OQ Result Context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F2"/>
            <w:tcBorders>
              <w:top w:val="single" w:sz="4" w:space="0" w:color="BFD7F5"/>
              <w:left w:val="single" w:sz="4" w:space="0" w:color="BFD7F5"/>
              <w:bottom w:val="single" w:sz="4" w:space="0" w:color="BFD7F5"/>
              <w:right w:val="single" w:sz="4" w:space="0" w:color="BFD7F5"/>
              <w:insideH w:val="single" w:sz="4" w:space="0" w:color="BFD7F5"/>
              <w:insideV w:val="single" w:sz="4" w:space="0" w:color="BFD7F5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ptos" w:hAnsi="Aptos"/>
                <w:b/>
                <w:color w:val="B42318"/>
                <w:sz w:val="19"/>
              </w:rPr>
              <w:t>Important interpretation</w:t>
            </w:r>
          </w:p>
          <w:p>
            <w:pPr>
              <w:spacing w:after="0"/>
            </w:pPr>
            <w:r>
              <w:rPr>
                <w:rFonts w:ascii="Aptos" w:hAnsi="Aptos"/>
                <w:color w:val="1D2939"/>
                <w:sz w:val="18"/>
              </w:rPr>
              <w:t>The signed OQ text extraction shows 398 result-bearing steps: 371 marked P and 27 marked F with bug references. This knowledge base treats those failures as validation risk signals requiring defect disposition, retest evidence, and release-impact assessment before production reliance.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  <w:insideH w:val="single" w:sz="4" w:space="0" w:color="B42318"/>
              <w:insideV w:val="single" w:sz="4" w:space="0" w:color="B4231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Observed issue family</w:t>
            </w:r>
          </w:p>
        </w:tc>
        <w:tc>
          <w:tcPr>
            <w:tcW w:type="dxa" w:w="2448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  <w:insideH w:val="single" w:sz="4" w:space="0" w:color="B42318"/>
              <w:insideV w:val="single" w:sz="4" w:space="0" w:color="B4231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Bug references in extracted OQ text</w:t>
            </w:r>
          </w:p>
        </w:tc>
        <w:tc>
          <w:tcPr>
            <w:tcW w:type="dxa" w:w="4608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  <w:insideH w:val="single" w:sz="4" w:space="0" w:color="B42318"/>
              <w:insideV w:val="single" w:sz="4" w:space="0" w:color="B4231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Documentation / product implication</w:t>
            </w:r>
          </w:p>
        </w:tc>
      </w:tr>
      <w:tr>
        <w:tc>
          <w:tcPr>
            <w:tcW w:type="dxa" w:w="316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Topic selection and external training request fields</w:t>
            </w:r>
          </w:p>
        </w:tc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Bug ID 21800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Clarify expected behavior, field validation, search/add-item behavior, and retest after fix.</w:t>
            </w:r>
          </w:p>
        </w:tc>
      </w:tr>
      <w:tr>
        <w:tc>
          <w:tcPr>
            <w:tcW w:type="dxa" w:w="316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Course/topic audit trail screens and revision display</w:t>
            </w:r>
          </w:p>
        </w:tc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Bug ID 21801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Audit trail visibility is a compliance-critical control; failed steps require formal closure evidence.</w:t>
            </w:r>
          </w:p>
        </w:tc>
      </w:tr>
      <w:tr>
        <w:tc>
          <w:tcPr>
            <w:tcW w:type="dxa" w:w="316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External training closure log and printed document details</w:t>
            </w:r>
          </w:p>
        </w:tc>
        <w:tc>
          <w:tcPr>
            <w:tcW w:type="dxa" w:w="24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Bug ID 21802</w:t>
            </w:r>
          </w:p>
        </w:tc>
        <w:tc>
          <w:tcPr>
            <w:tcW w:type="dxa" w:w="460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Closure reports are inspection artifacts; print/export completeness must be verified.</w:t>
            </w:r>
          </w:p>
        </w:tc>
      </w:tr>
    </w:tbl>
    <w:p/>
    <w:p>
      <w:pPr>
        <w:pStyle w:val="Heading1"/>
      </w:pPr>
      <w:r>
        <w:t>10. Consolidated URS Traceability Matrix</w:t>
      </w:r>
    </w:p>
    <w:p>
      <w:r>
        <w:rPr>
          <w:rFonts w:ascii="Aptos" w:hAnsi="Aptos"/>
          <w:b w:val="0"/>
          <w:i w:val="0"/>
          <w:sz w:val="19"/>
        </w:rPr>
        <w:t>This matrix is intentionally compact. It gives the implementation team a stable control map; the validation matrix should expand each row into individual testable requirements with source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Control area</w:t>
            </w:r>
          </w:p>
        </w:tc>
        <w:tc>
          <w:tcPr>
            <w:tcW w:type="dxa" w:w="2016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Source anchor</w:t>
            </w:r>
          </w:p>
        </w:tc>
        <w:tc>
          <w:tcPr>
            <w:tcW w:type="dxa" w:w="3528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Requirement summary</w:t>
            </w:r>
          </w:p>
        </w:tc>
        <w:tc>
          <w:tcPr>
            <w:tcW w:type="dxa" w:w="3024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Design / validation response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Security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3.1.1-3.1.64, 4.5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Unique users, password reset, password aging, lockout, idle timeout, no generic accounts, no password display.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Authentication/RBAC service, session service, user admin screens, security configuration OQ.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Audit trail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3.1.15-3.1.32, 4.4.9, 4.5.18-4.5.26, 4.5.31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Always-on, non-editable, non-deletable, who/when/what, reasons, printable, retained.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Central audit service, audit reports, tamper resistance, audit trail OQ scripts.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E-signature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3.1.48-3.1.54, 4.5.11-4.5.13, 4.5.30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Two-component first signature, password challenge, signature manifestation, record linkage.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E-signature service, signature meaning catalog, report rendering, workflow tests.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DMS integration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2.1.3.3, 4.1.2.3, OQ IQM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Fully integrated with DMS; document-driven training task flow.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docs-iq adapter, task mapping, integration config, retry/logging, end-to-end OQ.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Training lifecycle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4.1.1, 4.2.1, 4.3, 4.4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Induction, OJT, ILT, WBT, blended, document reading, external, completed, remedial/retraining.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Course/session services, TNI/GTP, scheduler, attendance, assessment, certificates.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Reports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4.2.1.20, 4.3.10-4.3.22, manual 6.2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Trainer, course, employee, induction, OJT, self-study, pending, assessment, history reports.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Report catalog, filters, print/export, inspection-ready signature/audit context.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Data integrity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3.1.11-3.1.36, 4.5.28-4.5.29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No unauthorized data changes, valid inputs, mandatory fields, sequence control, ALCOA+.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Validation rules, transactions, immutable records, export/copy controls.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Recovery and continuity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3.1.13-3.1.14, 4.6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Backup/restore, DR, RTO 15 min, redundancy/HA, crash consistency.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Ops architecture, backup policy, restore tests, DR plan, IQ/PQ evidence.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Documentation/support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4.7, 4.9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Validation deliverables, quality and production instances, manuals, vendor support, patch validation, AMC.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Lifecycle documentation set, supplier agreement, support SOP, release/change process.</w:t>
            </w:r>
          </w:p>
        </w:tc>
      </w:tr>
      <w:tr>
        <w:tc>
          <w:tcPr>
            <w:tcW w:type="dxa" w:w="18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Retirement/migration</w:t>
            </w:r>
          </w:p>
        </w:tc>
        <w:tc>
          <w:tcPr>
            <w:tcW w:type="dxa" w:w="20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4"/>
              </w:rPr>
              <w:t>4.9.8</w:t>
            </w:r>
          </w:p>
        </w:tc>
        <w:tc>
          <w:tcPr>
            <w:tcW w:type="dxa" w:w="352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Withdrawal, deactivation, disabled interfaces, retained GxP records, data migration and disposal evidence.</w:t>
            </w:r>
          </w:p>
        </w:tc>
        <w:tc>
          <w:tcPr>
            <w:tcW w:type="dxa" w:w="302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4"/>
              </w:rPr>
              <w:t>Archive strategy, migration tests, retirement SOP, data readability checks.</w:t>
            </w:r>
          </w:p>
        </w:tc>
      </w:tr>
    </w:tbl>
    <w:p/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NFR</w:t>
            </w:r>
          </w:p>
        </w:tc>
        <w:tc>
          <w:tcPr>
            <w:tcW w:type="dxa" w:w="5616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736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Acceptance evidence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Availability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System should be available 24x7 with controlled maintenance windows.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Monitoring, incident logs, uptime report, maintenance SOP.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Recovery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RTO target: 15 minutes; restore to latest working condition with minimal data loss.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DR test, restore test, backup logs, failover procedure.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Performance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Support at least 300 employees/users in site context and operationally fast workflows.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Load/performance test using representative roles and reports.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Security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Multilevel security for application client, server, and database administrators.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Access matrix, OS/database hardening, periodic access review.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Compatibility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Support legacy baseline where required and document modern browser/mobile equivalents.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Client qualification and responsive/mobile validation evidence.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Localization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English mandatory; Marathi and Hindi considered for local users.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Language pack review, translated UI verification, controlled terminology.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Maintainability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System remains enhancement-ready and durable for long-term use.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Release notes, regression pack, patch validation, configuration management.</w:t>
            </w:r>
          </w:p>
        </w:tc>
      </w:tr>
      <w:tr>
        <w:tc>
          <w:tcPr>
            <w:tcW w:type="dxa" w:w="194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Data retention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Regulated records retained, readable, and retrievable according to record schedules.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Archive tests, export tests, migration/retirement plan.</w:t>
            </w:r>
          </w:p>
        </w:tc>
      </w:tr>
    </w:tbl>
    <w:p/>
    <w:p>
      <w:pPr>
        <w:pStyle w:val="Heading1"/>
      </w:pPr>
      <w:r>
        <w:t>12. Product Build Guidance</w:t>
      </w:r>
    </w:p>
    <w:p>
      <w:r>
        <w:rPr>
          <w:rFonts w:ascii="Aptos" w:hAnsi="Aptos"/>
          <w:b w:val="0"/>
          <w:i w:val="0"/>
          <w:sz w:val="19"/>
        </w:rPr>
        <w:t>The strongest product approach is to build a compliance platform first, then compose training workflows on top of it. This keeps audit trail, e-signature, records, and integration behavior consistent across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468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P0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Identity, RBAC, profile restriction, account status, session log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Every regulated action depends on attributable users and authorized access.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P0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Audit trail and e-signature platform service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Compliance control used by all modules; hard to retrofit safely.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P0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Training master data: users, roles, groups, job responsibilities, topics, courses, question bank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Foundation for assignments and reports.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P0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Document reading, ILT/WBT/OJT sessions, attendance, assessment, certificates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Core training lifecycle.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P0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DMS/docs-iq integration for training tasks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Explicit URS and OQ scope; required for controlled SOP training.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P1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External training, remedial/retraining, induction gate, periodic schedule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Needed for complete pharma training coverage.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P1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Dashboards, escalation, report catalog, exports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Inspection and operational management evidence.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P1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CAPA/deviation/change-control integration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PQS integration and quality-event retraining.</w:t>
            </w:r>
          </w:p>
        </w:tc>
      </w:tr>
      <w:tr>
        <w:tc>
          <w:tcPr>
            <w:tcW w:type="dxa" w:w="10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P2</w:t>
            </w:r>
          </w:p>
        </w:tc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Biometrics, advanced analytics, mobile offline enhancements</w:t>
            </w:r>
          </w:p>
        </w:tc>
        <w:tc>
          <w:tcPr>
            <w:tcW w:type="dxa" w:w="46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Useful where site procedures require them; validate separately.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6FFFA"/>
            <w:tcBorders>
              <w:top w:val="single" w:sz="4" w:space="0" w:color="BFD7F5"/>
              <w:left w:val="single" w:sz="4" w:space="0" w:color="BFD7F5"/>
              <w:bottom w:val="single" w:sz="4" w:space="0" w:color="BFD7F5"/>
              <w:right w:val="single" w:sz="4" w:space="0" w:color="BFD7F5"/>
              <w:insideH w:val="single" w:sz="4" w:space="0" w:color="BFD7F5"/>
              <w:insideV w:val="single" w:sz="4" w:space="0" w:color="BFD7F5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ptos" w:hAnsi="Aptos"/>
                <w:b/>
                <w:color w:val="0F766E"/>
                <w:sz w:val="19"/>
              </w:rPr>
              <w:t>Documentation maintenance rule</w:t>
            </w:r>
          </w:p>
          <w:p>
            <w:pPr>
              <w:spacing w:after="0"/>
            </w:pPr>
            <w:r>
              <w:rPr>
                <w:rFonts w:ascii="Aptos" w:hAnsi="Aptos"/>
                <w:color w:val="1D2939"/>
                <w:sz w:val="18"/>
              </w:rPr>
              <w:t>Every release should update this knowledge base only where product behavior, requirement interpretation, architecture, or validation evidence has changed. Avoid dumping release notes; convert them into decisions, risks, and testable requirements.</w:t>
            </w:r>
          </w:p>
        </w:tc>
      </w:tr>
    </w:tbl>
    <w:p/>
    <w:p>
      <w:pPr>
        <w:pStyle w:val="Heading1"/>
      </w:pPr>
      <w:r>
        <w:t>13.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776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Meaning in this document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DMS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Document Management System; source of controlled SOPs, policies, protocols, and revisions.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docs-iq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Caliber EPIQ document-management module referenced in IQM integration evidence.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learn-iq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Caliber EPIQ learning-management module referenced by the manual and OQ evidence.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IQM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Integrated Quality Management integration between modules, especially docs-iq to learn-iq training tasks.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TNI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Training Need Identification; curriculum/training requirement derived from role, job responsibility, document, or event.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GTP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Group Training Plan; planned training package for a group/subgroup/population.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OQ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Operational Qualification; documented testing that functions operate as specified in the qualified environment.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ALCOA+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Data integrity principles: attributable, legible, contemporaneous, original, accurate, complete, consistent, enduring, available.</w:t>
            </w:r>
          </w:p>
        </w:tc>
      </w:tr>
      <w:tr>
        <w:tc>
          <w:tcPr>
            <w:tcW w:type="dxa" w:w="230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E-signature manifestation</w:t>
            </w:r>
          </w:p>
        </w:tc>
        <w:tc>
          <w:tcPr>
            <w:tcW w:type="dxa" w:w="777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Visible signer name, date/time, and meaning of signature on records/reports/screens.</w:t>
            </w:r>
          </w:p>
        </w:tc>
      </w:tr>
    </w:tbl>
    <w:p/>
    <w:p>
      <w:pPr>
        <w:pStyle w:val="Heading1"/>
      </w:pPr>
      <w:r>
        <w:t>14. Open Decisions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  <w:insideH w:val="single" w:sz="4" w:space="0" w:color="B42318"/>
              <w:insideV w:val="single" w:sz="4" w:space="0" w:color="B4231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392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  <w:insideH w:val="single" w:sz="4" w:space="0" w:color="B42318"/>
              <w:insideV w:val="single" w:sz="4" w:space="0" w:color="B4231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Decision / risk</w:t>
            </w:r>
          </w:p>
        </w:tc>
        <w:tc>
          <w:tcPr>
            <w:tcW w:type="dxa" w:w="3672"/>
            <w:shd w:fill="B42318"/>
            <w:tcBorders>
              <w:top w:val="single" w:sz="4" w:space="0" w:color="B42318"/>
              <w:left w:val="single" w:sz="4" w:space="0" w:color="B42318"/>
              <w:bottom w:val="single" w:sz="4" w:space="0" w:color="B42318"/>
              <w:right w:val="single" w:sz="4" w:space="0" w:color="B42318"/>
              <w:insideH w:val="single" w:sz="4" w:space="0" w:color="B42318"/>
              <w:insideV w:val="single" w:sz="4" w:space="0" w:color="B4231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Recommended action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Legacy technology</w:t>
            </w:r>
          </w:p>
        </w:tc>
        <w:tc>
          <w:tcPr>
            <w:tcW w:type="dxa" w:w="439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Reference manual lists IE 11, Flash, .NET 4.0, SQL Server 2014/2016.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Document modern stack equivalents and validate migration from reference behavior.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OQ failures</w:t>
            </w:r>
          </w:p>
        </w:tc>
        <w:tc>
          <w:tcPr>
            <w:tcW w:type="dxa" w:w="439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Signed OQ includes failed bug-linked steps around topic selection, audit trails, and closure logs.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Track defects to closure, retest, and include evidence in validation package.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DMS integration</w:t>
            </w:r>
          </w:p>
        </w:tc>
        <w:tc>
          <w:tcPr>
            <w:tcW w:type="dxa" w:w="439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Training-task flow is core and must preserve meaning during data exchange.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Define canonical API contract, idempotency, retries, and reconciliation reports.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CAPA/deviation integration</w:t>
            </w:r>
          </w:p>
        </w:tc>
        <w:tc>
          <w:tcPr>
            <w:tcW w:type="dxa" w:w="439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Existing knowledge base needs this for next-generation scope; source URS implies PQS alignment.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Confirm target QMS events, closure gating rules, and evidence payload.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Mobile/shop-floor access</w:t>
            </w:r>
          </w:p>
        </w:tc>
        <w:tc>
          <w:tcPr>
            <w:tcW w:type="dxa" w:w="439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URS prefers mobile availability, but GxP signature/session controls still apply.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Validate device/browser support, timeout behavior, and shop-floor authentication.</w:t>
            </w:r>
          </w:p>
        </w:tc>
      </w:tr>
      <w:tr>
        <w:tc>
          <w:tcPr>
            <w:tcW w:type="dxa" w:w="208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D2939"/>
                <w:sz w:val="16"/>
              </w:rPr>
              <w:t>Multilingual UI</w:t>
            </w:r>
          </w:p>
        </w:tc>
        <w:tc>
          <w:tcPr>
            <w:tcW w:type="dxa" w:w="439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Marathi and Hindi are requested in URS.</w:t>
            </w:r>
          </w:p>
        </w:tc>
        <w:tc>
          <w:tcPr>
            <w:tcW w:type="dxa" w:w="36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Define translation scope, controlled terms, and language-specific validation sampling.</w:t>
            </w:r>
          </w:p>
        </w:tc>
      </w:tr>
    </w:tbl>
    <w:p/>
    <w:p>
      <w:r>
        <w:br w:type="page"/>
      </w:r>
    </w:p>
    <w:p>
      <w:pPr>
        <w:pStyle w:val="Heading1"/>
      </w:pPr>
      <w:r>
        <w:t>15. Diagram and Mermaid Reference Appendix</w:t>
      </w:r>
    </w:p>
    <w:p>
      <w:r>
        <w:rPr>
          <w:rFonts w:ascii="Aptos" w:hAnsi="Aptos"/>
          <w:b w:val="0"/>
          <w:i w:val="0"/>
          <w:sz w:val="19"/>
        </w:rPr>
        <w:t>This appendix incorporates the diagramming pattern from pharma_learn_scope.docx: introduce the concept in one or two sentences, include a visual flowchart for readers who scan, and preserve the Mermaid source so the same diagram can be reused in Markdown, product docs, or engineering specs.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464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Pattern from scope reference</w:t>
            </w:r>
          </w:p>
        </w:tc>
        <w:tc>
          <w:tcPr>
            <w:tcW w:type="dxa" w:w="5616"/>
            <w:shd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  <w:insideH w:val="single" w:sz="4" w:space="0" w:color="0F766E"/>
              <w:insideV w:val="single" w:sz="4" w:space="0" w:color="0F766E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How this knowledge base uses it</w:t>
            </w:r>
          </w:p>
        </w:tc>
      </w:tr>
      <w:tr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Flowchart LR/TD for architecture, integration, compliance, analytics, scope model, risk, and traceability.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Adds reusable Mermaid blocks and rendered flowchart images for scope, compliance, and work-breakdown views.</w:t>
            </w:r>
          </w:p>
        </w:tc>
      </w:tr>
      <w:tr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Mindmap blocks for architecture interpretation and non-functional requirements.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Adds mindmap-ready Mermaid source where branching concepts are more useful than step-by-step process diagrams.</w:t>
            </w:r>
          </w:p>
        </w:tc>
      </w:tr>
      <w:tr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Short labels inside nodes.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Keeps nodes concise so diagrams remain readable in Word, Markdown, and slide decks.</w:t>
            </w:r>
          </w:p>
        </w:tc>
      </w:tr>
      <w:tr>
        <w:tc>
          <w:tcPr>
            <w:tcW w:type="dxa" w:w="446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Appendix traceability map.</w:t>
            </w:r>
          </w:p>
        </w:tc>
        <w:tc>
          <w:tcPr>
            <w:tcW w:type="dxa" w:w="561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Connects sources to requirements, design, validation, and OQ evidence.</w:t>
            </w:r>
          </w:p>
        </w:tc>
      </w:tr>
    </w:tbl>
    <w:p/>
    <w:p>
      <w:pPr>
        <w:pStyle w:val="Heading2"/>
      </w:pPr>
      <w:r>
        <w:t>15.1 Target Scope Model</w:t>
      </w:r>
    </w:p>
    <w:p>
      <w:r>
        <w:rPr>
          <w:rFonts w:ascii="Aptos" w:hAnsi="Aptos"/>
          <w:b w:val="0"/>
          <w:i w:val="0"/>
          <w:sz w:val="19"/>
        </w:rPr>
        <w:t>Use this diagram when explaining product boundaries to business, QA, and engineering stakeholders.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scope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/>
          <w:b w:val="0"/>
          <w:i/>
          <w:color w:val="667085"/>
          <w:sz w:val="19"/>
        </w:rPr>
        <w:t>Figure 3. Target scope model adapted from the pharma_learn_scope diagram pattern.</w:t>
      </w:r>
    </w:p>
    <w:p>
      <w:r>
        <w:rPr>
          <w:rFonts w:ascii="Aptos" w:hAnsi="Aptos"/>
          <w:b/>
          <w:color w:val="667085"/>
          <w:sz w:val="17"/>
        </w:rPr>
        <w:t>Mermaid source: target scope model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>flowchart TD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A["Target Scope Model"] --&gt; B["Foundational"]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C["Learning Operations"]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D["Qualification"]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E["Compliance"]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F["Enterprise"]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--&gt; B1["Users, roles, hierarchy, plant"]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--&gt; B2["RBAC, audit trail, e-signature"]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C1["Courses, sessions, attendance"]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C2["Document reading, OJT, external"]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D1["Assessments, certificates, retraining"]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E1["Part 11, Annex 11, ALCOA+"]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F --&gt; F1["DMS, QMS, mail, reporting"]</w:t>
      </w:r>
    </w:p>
    <w:p/>
    <w:p>
      <w:pPr>
        <w:pStyle w:val="Heading2"/>
      </w:pPr>
      <w:r>
        <w:t>15.2 Compliance Scope Map</w:t>
      </w:r>
    </w:p>
    <w:p>
      <w:r>
        <w:rPr>
          <w:rFonts w:ascii="Aptos" w:hAnsi="Aptos"/>
          <w:b w:val="0"/>
          <w:i w:val="0"/>
          <w:sz w:val="19"/>
        </w:rPr>
        <w:t>Use this view when aligning URS controls to architecture services and validation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459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scope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59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/>
          <w:b w:val="0"/>
          <w:i/>
          <w:color w:val="667085"/>
          <w:sz w:val="19"/>
        </w:rPr>
        <w:t>Figure 4. Compliance scope map for regulated LMS controls.</w:t>
      </w:r>
    </w:p>
    <w:p>
      <w:r>
        <w:rPr>
          <w:rFonts w:ascii="Aptos" w:hAnsi="Aptos"/>
          <w:b/>
          <w:color w:val="667085"/>
          <w:sz w:val="17"/>
        </w:rPr>
        <w:t>Mermaid source: compliance scope map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>flowchart TD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A["Compliance Scope"] --&gt; B["Identity Control"]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C["Record Control"]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D["Signature Control"]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E["Audit Control"]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F["Continuity Control"]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--&gt; B1["Unique user IDs"]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--&gt; B2["RBAC and session log"]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C1["Retention and retrieval"]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C2["No deletion / no silent overwrite"]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D1["E-signature meaning"]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D2["Record linkage"]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E1["Immutable audit trail"]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E2["Printable inspection evidence"]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F --&gt; F1["Backup, restore, DR"]</w:t>
      </w:r>
    </w:p>
    <w:p/>
    <w:p>
      <w:pPr>
        <w:pStyle w:val="Heading2"/>
      </w:pPr>
      <w:r>
        <w:t>15.3 Scope Definition Work Breakdown</w:t>
      </w:r>
    </w:p>
    <w:p>
      <w:r>
        <w:rPr>
          <w:rFonts w:ascii="Aptos" w:hAnsi="Aptos"/>
          <w:b w:val="0"/>
          <w:i w:val="0"/>
          <w:sz w:val="19"/>
        </w:rPr>
        <w:t>Use this diagram to break a broad LMS initiative into testable definition tracks before implementation.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9542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workbreak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95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/>
          <w:b w:val="0"/>
          <w:i/>
          <w:color w:val="667085"/>
          <w:sz w:val="19"/>
        </w:rPr>
        <w:t>Figure 5. Scope-definition work breakdown adapted from the reference document.</w:t>
      </w:r>
    </w:p>
    <w:p>
      <w:r>
        <w:rPr>
          <w:rFonts w:ascii="Aptos" w:hAnsi="Aptos"/>
          <w:b/>
          <w:color w:val="667085"/>
          <w:sz w:val="17"/>
        </w:rPr>
        <w:t>Mermaid source: scope-definition work breakdown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>flowchart TD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A["Scope Definition"] --&gt; B["Business Process Scope"]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C["Functional Scope"]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D["Compliance Scope"]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E["Technical Scope"]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F["Integration Scope"]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A --&gt; G["Reporting Scope"]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--&gt; B1["Training lifecycle"]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--&gt; B2["Role and job mapping"]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B --&gt; B3["Induction / OJT / refresher"]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C1["System Manager"]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C2["Document Manager"]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C3["Course Manager"]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C --&gt; C4["Dashboards"]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D1["Part 11"]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D2["Annex 11"]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D3["Audit trail"]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D --&gt; D4["E-signature"]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E1["Deployment"]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E2["Security"]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E3["Performance"]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E --&gt; E4["Backup and restore"]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F --&gt; F1["DMS/docs-iq"]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F --&gt; F2["QMS/CAPA"]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F --&gt; F3["SSO/AD and mail"]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G --&gt; G1["Inspection exports"]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G --&gt; G2["Pendency and history"]</w:t>
      </w:r>
    </w:p>
    <w:p/>
    <w:p>
      <w:pPr>
        <w:pStyle w:val="Heading2"/>
      </w:pPr>
      <w:r>
        <w:t>15.4 Mermaid Authoring Rules for This Knowledge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5760"/>
            <w:shd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  <w:insideH w:val="single" w:sz="4" w:space="0" w:color="1F4E79"/>
              <w:insideV w:val="single" w:sz="4" w:space="0" w:color="1F4E7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43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Use quoted node labels, for example A["Audit Trail"].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Quoted labels handle punctuation, slashes, and regulated terms cleanly.</w:t>
            </w:r>
          </w:p>
        </w:tc>
      </w:tr>
      <w:tr>
        <w:tc>
          <w:tcPr>
            <w:tcW w:type="dxa" w:w="43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Prefer LR for architecture/integration and TD for decomposition/work breakdown.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Readers can distinguish horizontal system flow from vertical scope hierarchy.</w:t>
            </w:r>
          </w:p>
        </w:tc>
      </w:tr>
      <w:tr>
        <w:tc>
          <w:tcPr>
            <w:tcW w:type="dxa" w:w="43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Keep node text below roughly 5 words where possible.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Short labels render better in Word screenshots, Markdown, and slide decks.</w:t>
            </w:r>
          </w:p>
        </w:tc>
      </w:tr>
      <w:tr>
        <w:tc>
          <w:tcPr>
            <w:tcW w:type="dxa" w:w="43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Pair Mermaid source with a rendered figure when the diagram is important.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The rendered figure supports Word readers; the source supports maintainers.</w:t>
            </w:r>
          </w:p>
        </w:tc>
      </w:tr>
      <w:tr>
        <w:tc>
          <w:tcPr>
            <w:tcW w:type="dxa" w:w="43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Do not use Mermaid as the only source of a requirement.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1D2939"/>
                <w:sz w:val="16"/>
              </w:rPr>
              <w:t>Requirements still need prose, source anchor, owner, and validation evidence.</w:t>
            </w:r>
          </w:p>
        </w:tc>
      </w:tr>
    </w:tbl>
    <w:p/>
    <w:p>
      <w:r>
        <w:rPr>
          <w:rFonts w:ascii="Aptos" w:hAnsi="Aptos"/>
          <w:b/>
          <w:color w:val="667085"/>
          <w:sz w:val="17"/>
        </w:rPr>
        <w:t>Mermaid source: non-functional requirement mindmap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>mindmap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root((Non-Functional Requirements))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Security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RBAC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Password policy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Session timeout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Reliability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Backup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Restore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Continuity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Performance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Multi-site support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Searchability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Dashboard responsiveness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Maintainability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Config-driven behavior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Version alignment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Traceability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IDs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Logs</w:t>
      </w:r>
    </w:p>
    <w:p>
      <w:pPr>
        <w:shd w:fill="F7F8FA"/>
        <w:spacing w:after="0"/>
        <w:ind w:left="173" w:right="173"/>
      </w:pPr>
      <w:r>
        <w:rPr>
          <w:rFonts w:ascii="Courier New" w:hAnsi="Courier New"/>
          <w:color w:val="344054"/>
          <w:sz w:val="15"/>
        </w:rPr>
        <w:t xml:space="preserve">      History</w:t>
      </w:r>
    </w:p>
    <w:p/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5"/>
      </w:rPr>
      <w:t>Pharma LMS Knowledge Base | Architecture, Scope, Compliance and Validation Reference | Confidential</w:t>
    </w:r>
    <w:r>
      <w:rPr>
        <w:rFonts w:ascii="Aptos" w:hAnsi="Aptos"/>
        <w:color w:val="667085"/>
        <w:sz w:val="15"/>
      </w:rPr>
      <w:t>Pharma LMS Knowledge Base | Architecture, Scope, Compliance and Validation Reference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80E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