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9"/>
        <w:rPr>
          <w:sz w:val="21"/>
          <w:szCs w:val="21"/>
        </w:rPr>
      </w:pPr>
      <w:r>
        <w:rPr>
          <w:sz w:val="21"/>
          <w:szCs w:val="21"/>
        </w:rPr>
      </w:r>
    </w:p>
    <w:p>
      <w:pPr>
        <w:pStyle w:val="Normal"/>
        <w:spacing w:before="0" w:after="19"/>
        <w:rPr/>
      </w:pPr>
      <w:r>
        <w:rPr/>
        <mc:AlternateContent>
          <mc:Choice Requires="wps">
            <w:drawing>
              <wp:inline distT="0" distB="0" distL="0" distR="0" wp14:anchorId="66AFEDD7">
                <wp:extent cx="6494145" cy="309880"/>
                <wp:effectExtent l="0" t="0" r="20955" b="13970"/>
                <wp:docPr id="1001" name="Rectangle : coins arrondis 11"/>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600">
                          <a:solidFill>
                            <a:srgbClr val="02466d"/>
                          </a:solidFill>
                          <a:round/>
                        </a:ln>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DOMAINES DE COMPÉTENCES</w:t>
                            </w:r>
                          </w:p>
                        </w:txbxContent>
                      </wps:txbx>
                      <wps:bodyPr anchor="t">
                        <a:noAutofit/>
                      </wps:bodyPr>
                    </wps:wsp>
                  </a:graphicData>
                </a:graphic>
              </wp:inline>
            </w:drawing>
          </mc:Choice>
          <mc:Fallback>
            <w:pict/>
          </mc:Fallback>
        </mc:AlternateContent>
      </w:r>
    </w:p>
    <w:p>
      <w:pPr>
        <w:pStyle w:val="Normal"/>
        <w:rPr>
          <w:sz w:val="16"/>
          <w:szCs w:val="16"/>
        </w:rPr>
      </w:pPr>
      <w:r>
        <w:rPr>
          <w:rFonts w:cs="Calibri" w:ascii="Calibri" w:hAnsi="Calibri"/>
          <w:sz w:val="16"/>
          <w:szCs w:val="16"/>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Pilotage de processus de sourcing stratégique, incluant l’analyse Make‑or‑Buy et la création de panels fournisseurs, pour des secteurs industriels variés tels que la sidérurgie, l’aéronautique et l’automobile.</w:t>
      </w:r>
    </w:p>
    <w:p>
      <w:pPr>
        <w:pStyle w:val="Normal"/>
        <w:rPr>
          <w:sz w:val="20"/>
          <w:szCs w:val="20"/>
        </w:rPr>
      </w:pPr>
      <w:r>
        <w:rPr>
          <w:sz w:val="20"/>
          <w:szCs w:val="20"/>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Négociation internationale et gestion contractuelle (droit des contrats) visant des économies significatives, avec plus de 1 M€ de savings réalisés sur des projets CAPEX de plusieurs dizaines de millions d’euros.</w:t>
      </w:r>
    </w:p>
    <w:p>
      <w:pPr>
        <w:pStyle w:val="Normal"/>
        <w:rPr>
          <w:sz w:val="20"/>
          <w:szCs w:val="20"/>
        </w:rPr>
      </w:pPr>
      <w:r>
        <w:rPr>
          <w:sz w:val="20"/>
          <w:szCs w:val="20"/>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Gestion complète du cycle d’achat, de la définition du besoin au claim management, en passant par les appels d’offres, la rédaction de cahiers des charges et le suivi des performances fournisseurs.</w:t>
      </w:r>
    </w:p>
    <w:p>
      <w:pPr>
        <w:pStyle w:val="Normal"/>
        <w:rPr>
          <w:sz w:val="20"/>
          <w:szCs w:val="20"/>
        </w:rPr>
      </w:pPr>
      <w:r>
        <w:rPr>
          <w:sz w:val="20"/>
          <w:szCs w:val="20"/>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Direction fonctionnelle d’équipes d’analystes et d’assistants achats, assurant la coordination transversale et le déploiement de stratégies d’achats indirects et de CAPEX au sein de filiales internationales.</w:t>
      </w:r>
    </w:p>
    <w:p>
      <w:pPr>
        <w:pStyle w:val="Normal"/>
        <w:rPr>
          <w:sz w:val="20"/>
          <w:szCs w:val="20"/>
        </w:rPr>
      </w:pPr>
      <w:r>
        <w:rPr>
          <w:sz w:val="20"/>
          <w:szCs w:val="20"/>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Mise en place de stratégies d’achats durables et d’optimisation de la chaîne logistique, incluant l’évaluation des risques fournisseurs et le reporting stratégique.</w:t>
      </w:r>
    </w:p>
    <w:p>
      <w:pPr>
        <w:pStyle w:val="Normal"/>
        <w:rPr>
          <w:sz w:val="20"/>
          <w:szCs w:val="20"/>
        </w:rPr>
      </w:pPr>
      <w:r>
        <w:rPr>
          <w:sz w:val="20"/>
          <w:szCs w:val="20"/>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Gestion de projets d’achats complexes dans les domaines du génie civil, de l’électrification de flottes et de la rénovation de cabines d’avion, avec une maîtrise du suivi budgétaire (masses d’achat de 40 M à 200 M CHF/EUR).</w:t>
      </w:r>
    </w:p>
    <w:p>
      <w:pPr>
        <w:pStyle w:val="Normal"/>
        <w:rPr>
          <w:sz w:val="20"/>
          <w:szCs w:val="20"/>
        </w:rPr>
      </w:pPr>
      <w:r>
        <w:rPr>
          <w:sz w:val="20"/>
          <w:szCs w:val="20"/>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Utilisation avancée des outils Microsoft Office et SAP pour l’analyse de données, la génération de rapports et l’automatisation des processus d’achat.</w:t>
      </w:r>
    </w:p>
    <w:p>
      <w:pPr>
        <w:pStyle w:val="Normal"/>
        <w:rPr>
          <w:sz w:val="20"/>
          <w:szCs w:val="20"/>
        </w:rPr>
      </w:pPr>
      <w:r>
        <w:rPr>
          <w:sz w:val="20"/>
          <w:szCs w:val="20"/>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Maîtrise de plusieurs langues (anglais C1, espagnol C2, allemand B2, portugais B1), facilitant la communication avec des fournisseurs et partenaires internationaux.</w:t>
      </w:r>
    </w:p>
    <w:p>
      <w:pPr>
        <w:pStyle w:val="Normal"/>
        <w:rPr>
          <w:sz w:val="20"/>
          <w:szCs w:val="20"/>
        </w:rPr>
      </w:pPr>
      <w:r>
        <w:rPr>
          <w:sz w:val="20"/>
          <w:szCs w:val="20"/>
        </w:rPr>
        <w:t xml:space="preserve"/>
      </w:r>
    </w:p>
    <w:p>
      <w:pPr>
        <w:pStyle w:val="Normal"/>
        <w:rPr/>
      </w:pPr>
      <w:r>
        <w:rPr/>
        <mc:AlternateContent>
          <mc:Choice Requires="wps">
            <w:drawing>
              <wp:inline distT="0" distB="0" distL="0" distR="0" wp14:anchorId="0644434D">
                <wp:extent cx="6494145" cy="309880"/>
                <wp:effectExtent l="0" t="0" r="20955" b="13970"/>
                <wp:docPr id="1002" name="Rectangle : coins arrondis 9"/>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600">
                          <a:solidFill>
                            <a:srgbClr val="02466d"/>
                          </a:solidFill>
                          <a:round/>
                        </a:ln>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OUTILS</w:t>
                            </w:r>
                          </w:p>
                        </w:txbxContent>
                      </wps:txbx>
                      <wps:bodyPr anchor="t">
                        <a:noAutofit/>
                      </wps:bodyPr>
                    </wps:wsp>
                  </a:graphicData>
                </a:graphic>
              </wp:inline>
            </w:drawing>
          </mc:Choice>
          <mc:Fallback>
            <w:pict/>
          </mc:Fallback>
        </mc:AlternateConten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pacing w:before="60" w:after="0"/>
        <w:ind w:hanging="567" w:left="1134"/>
        <w:rPr>
          <w:sz w:val="20"/>
          <w:szCs w:val="20"/>
        </w:rPr>
      </w:pPr>
      <w:r>
        <w:rPr>
          <w:rFonts w:cs="Calibri" w:ascii="Calibri" w:hAnsi="Calibri"/>
          <w:b/>
          <w:bCs/>
          <w:color w:val="002060"/>
          <w:sz w:val="20"/>
          <w:szCs w:val="20"/>
        </w:rPr>
        <w:t xml:space="preserve">Microsoft Office:</w:t>
      </w:r>
      <w:r>
        <w:rPr>
          <w:rFonts w:cs="Calibri" w:ascii="Calibri" w:hAnsi="Calibri"/>
          <w:color w:val="002060"/>
          <w:sz w:val="20"/>
          <w:szCs w:val="20"/>
        </w:rPr>
        <w:t xml:space="preserve"> Word, Excel, PowerPoint, Outlook</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pacing w:before="60" w:after="0"/>
        <w:ind w:hanging="567" w:left="1134"/>
        <w:rPr>
          <w:sz w:val="20"/>
          <w:szCs w:val="20"/>
        </w:rPr>
      </w:pPr>
      <w:r>
        <w:rPr>
          <w:rFonts w:cs="Calibri" w:ascii="Calibri" w:hAnsi="Calibri"/>
          <w:b/>
          <w:bCs/>
          <w:color w:val="002060"/>
          <w:sz w:val="20"/>
          <w:szCs w:val="20"/>
        </w:rPr>
        <w:t xml:space="preserve">SAP:</w:t>
      </w:r>
      <w:r>
        <w:rPr>
          <w:rFonts w:cs="Calibri" w:ascii="Calibri" w:hAnsi="Calibri"/>
          <w:color w:val="002060"/>
          <w:sz w:val="20"/>
          <w:szCs w:val="20"/>
        </w:rPr>
        <w:t xml:space="preserve"> SAP ERP</w:t>
      </w:r>
    </w:p>
    <w:p>
      <w:pPr>
        <w:pStyle w:val="Normal"/>
        <w:rPr>
          <w:sz w:val="16"/>
          <w:szCs w:val="16"/>
        </w:rPr>
      </w:pPr>
      <w:r>
        <w:rPr>
          <w:rFonts w:ascii="Calibri" w:hAnsi="Calibri"/>
          <w:sz w:val="16"/>
          <w:szCs w:val="16"/>
        </w:rPr>
        <w:t xml:space="preserve"/>
      </w:r>
    </w:p>
    <w:p>
      <w:pPr>
        <w:pStyle w:val="Normal"/>
        <w:spacing w:before="0" w:after="19"/>
        <w:rPr/>
      </w:pPr>
      <w:r>
        <w:rPr/>
        <mc:AlternateContent>
          <mc:Choice Requires="wps">
            <w:drawing>
              <wp:inline distT="0" distB="0" distL="0" distR="0" wp14:anchorId="03D68D8F">
                <wp:extent cx="6494145" cy="309880"/>
                <wp:effectExtent l="0" t="0" r="20955" b="13970"/>
                <wp:docPr id="1003" name="Rectangle : coins arrondis 7"/>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600">
                          <a:solidFill>
                            <a:srgbClr val="02466d"/>
                          </a:solidFill>
                          <a:round/>
                        </a:ln>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SECTEURS D’ACTIVITÉ</w:t>
                            </w:r>
                          </w:p>
                        </w:txbxContent>
                      </wps:txbx>
                      <wps:bodyPr anchor="t">
                        <a:noAutofit/>
                      </wps:bodyPr>
                    </wps:wsp>
                  </a:graphicData>
                </a:graphic>
              </wp:inline>
            </w:drawing>
          </mc:Choice>
          <mc:Fallback>
            <w:pict/>
          </mc:Fallback>
        </mc:AlternateContent>
      </w:r>
    </w:p>
    <w:p>
      <w:pPr>
        <w:pStyle w:val="Normal"/>
        <w:spacing w:before="0" w:after="19"/>
        <w:rPr>
          <w:sz w:val="16"/>
          <w:szCs w:val="16"/>
        </w:rPr>
      </w:pPr>
      <w:r>
        <w:rPr>
          <w:rFonts w:ascii="Calibri" w:hAnsi="Calibri"/>
          <w:sz w:val="16"/>
          <w:szCs w:val="16"/>
        </w:rPr>
        <w:t xml:space="preserve"/>
      </w:r>
    </w:p>
    <w:p>
      <w:pPr>
        <w:pStyle w:val="Normal"/>
        <w:numPr>
          <w:ilvl w:val="0"/>
          <w:numId w:val="3"/>
        </w:numPr>
        <w:tabs>
          <w:tab w:val="clear" w:pos="708"/>
          <w:tab w:val="left" w:pos="1134" w:leader="none"/>
        </w:tabs>
        <w:spacing w:before="60" w:after="0"/>
        <w:ind w:hanging="567" w:left="1134"/>
        <w:rPr/>
      </w:pPr>
      <w:r>
        <w:rPr>
          <w:rFonts w:cs="Calibri" w:ascii="Calibri" w:hAnsi="Calibri"/>
          <w:color w:val="002060"/>
          <w:sz w:val="20"/>
          <w:szCs w:val="20"/>
        </w:rPr>
        <w:t xml:space="preserve">sidérurgie</w:t>
      </w:r>
      <w:r>
        <w:rPr>
          <w:rFonts w:cs="Calibri" w:ascii="Calibri" w:hAnsi="Calibri"/>
          <w:color w:val="000000"/>
        </w:rPr>
        <w:t xml:space="preserve"/>
      </w:r>
    </w:p>
    <w:p>
      <w:pPr>
        <w:pStyle w:val="Normal"/>
        <w:numPr>
          <w:ilvl w:val="0"/>
          <w:numId w:val="3"/>
        </w:numPr>
        <w:tabs>
          <w:tab w:val="clear" w:pos="708"/>
          <w:tab w:val="left" w:pos="1134" w:leader="none"/>
        </w:tabs>
        <w:spacing w:before="60" w:after="0"/>
        <w:ind w:hanging="567" w:left="1134"/>
        <w:rPr/>
      </w:pPr>
      <w:r>
        <w:rPr>
          <w:rFonts w:cs="Calibri" w:ascii="Calibri" w:hAnsi="Calibri"/>
          <w:color w:val="002060"/>
          <w:sz w:val="20"/>
          <w:szCs w:val="20"/>
        </w:rPr>
        <w:t xml:space="preserve">ferroviaire</w:t>
      </w:r>
      <w:r>
        <w:rPr>
          <w:rFonts w:cs="Calibri" w:ascii="Calibri" w:hAnsi="Calibri"/>
          <w:color w:val="000000"/>
        </w:rPr>
        <w:t xml:space="preserve"/>
      </w:r>
    </w:p>
    <w:p>
      <w:pPr>
        <w:pStyle w:val="Normal"/>
        <w:numPr>
          <w:ilvl w:val="0"/>
          <w:numId w:val="3"/>
        </w:numPr>
        <w:tabs>
          <w:tab w:val="clear" w:pos="708"/>
          <w:tab w:val="left" w:pos="1134" w:leader="none"/>
        </w:tabs>
        <w:spacing w:before="60" w:after="0"/>
        <w:ind w:hanging="567" w:left="1134"/>
        <w:rPr/>
      </w:pPr>
      <w:r>
        <w:rPr>
          <w:rFonts w:cs="Calibri" w:ascii="Calibri" w:hAnsi="Calibri"/>
          <w:color w:val="002060"/>
          <w:sz w:val="20"/>
          <w:szCs w:val="20"/>
        </w:rPr>
        <w:t xml:space="preserve">aéronautique</w:t>
      </w:r>
      <w:r>
        <w:rPr>
          <w:rFonts w:cs="Calibri" w:ascii="Calibri" w:hAnsi="Calibri"/>
          <w:color w:val="000000"/>
        </w:rPr>
        <w:t xml:space="preserve"/>
      </w:r>
    </w:p>
    <w:p>
      <w:pPr>
        <w:pStyle w:val="Normal"/>
        <w:numPr>
          <w:ilvl w:val="0"/>
          <w:numId w:val="3"/>
        </w:numPr>
        <w:tabs>
          <w:tab w:val="clear" w:pos="708"/>
          <w:tab w:val="left" w:pos="1134" w:leader="none"/>
        </w:tabs>
        <w:spacing w:before="60" w:after="0"/>
        <w:ind w:hanging="567" w:left="1134"/>
        <w:rPr/>
      </w:pPr>
      <w:r>
        <w:rPr>
          <w:rFonts w:cs="Calibri" w:ascii="Calibri" w:hAnsi="Calibri"/>
          <w:color w:val="002060"/>
          <w:sz w:val="20"/>
          <w:szCs w:val="20"/>
        </w:rPr>
        <w:t xml:space="preserve">automobile</w:t>
      </w:r>
      <w:r>
        <w:rPr>
          <w:rFonts w:cs="Calibri" w:ascii="Calibri" w:hAnsi="Calibri"/>
          <w:color w:val="000000"/>
        </w:rPr>
        <w:t xml:space="preserve"/>
      </w:r>
    </w:p>
    <w:p>
      <w:pPr>
        <w:pStyle w:val="Normal"/>
        <w:numPr>
          <w:ilvl w:val="0"/>
          <w:numId w:val="3"/>
        </w:numPr>
        <w:tabs>
          <w:tab w:val="clear" w:pos="708"/>
          <w:tab w:val="left" w:pos="1134" w:leader="none"/>
        </w:tabs>
        <w:spacing w:before="60" w:after="0"/>
        <w:ind w:hanging="567" w:left="1134"/>
        <w:rPr/>
      </w:pPr>
      <w:r>
        <w:rPr>
          <w:rFonts w:cs="Calibri" w:ascii="Calibri" w:hAnsi="Calibri"/>
          <w:color w:val="002060"/>
          <w:sz w:val="20"/>
          <w:szCs w:val="20"/>
        </w:rPr>
        <w:t xml:space="preserve">alimentaire</w:t>
      </w:r>
      <w:r>
        <w:rPr>
          <w:rFonts w:cs="Calibri" w:ascii="Calibri" w:hAnsi="Calibri"/>
          <w:color w:val="000000"/>
        </w:rPr>
        <w:t xml:space="preserve"/>
      </w:r>
    </w:p>
    <w:p>
      <w:pPr>
        <w:pStyle w:val="Normal"/>
        <w:numPr>
          <w:ilvl w:val="0"/>
          <w:numId w:val="3"/>
        </w:numPr>
        <w:tabs>
          <w:tab w:val="clear" w:pos="708"/>
          <w:tab w:val="left" w:pos="1134" w:leader="none"/>
        </w:tabs>
        <w:spacing w:before="60" w:after="0"/>
        <w:ind w:hanging="567" w:left="1134"/>
        <w:rPr/>
      </w:pPr>
      <w:r>
        <w:rPr>
          <w:rFonts w:cs="Calibri" w:ascii="Calibri" w:hAnsi="Calibri"/>
          <w:color w:val="002060"/>
          <w:sz w:val="20"/>
          <w:szCs w:val="20"/>
        </w:rPr>
        <w:t xml:space="preserve">horlogerie</w:t>
      </w:r>
      <w:r>
        <w:rPr>
          <w:rFonts w:cs="Calibri" w:ascii="Calibri" w:hAnsi="Calibri"/>
          <w:color w:val="000000"/>
        </w:rPr>
        <w:t xml:space="preserve"/>
      </w:r>
    </w:p>
    <w:p>
      <w:pPr>
        <w:pStyle w:val="Normal"/>
        <w:rPr/>
      </w:pPr>
      <w:r>
        <w:rPr/>
        <mc:AlternateContent>
          <mc:Choice Requires="wps">
            <w:drawing>
              <wp:inline distT="0" distB="0" distL="0" distR="0" wp14:anchorId="59015D59">
                <wp:extent cx="6494145" cy="309880"/>
                <wp:effectExtent l="0" t="0" r="20955" b="13970"/>
                <wp:docPr id="1004" name="Rectangle : coins arrondis 5"/>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600">
                          <a:solidFill>
                            <a:srgbClr val="02466d"/>
                          </a:solidFill>
                          <a:round/>
                        </a:ln>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DIPLÔMES / FORMATION</w:t>
                            </w:r>
                          </w:p>
                        </w:txbxContent>
                      </wps:txbx>
                      <wps:bodyPr anchor="t">
                        <a:noAutofit/>
                      </wps:bodyPr>
                    </wps:wsp>
                  </a:graphicData>
                </a:graphic>
              </wp:inline>
            </w:drawing>
          </mc:Choice>
          <mc:Fallback>
            <w:pict/>
          </mc:Fallback>
        </mc:AlternateContent>
      </w:r>
    </w:p>
    <w:p>
      <w:pPr>
        <w:pStyle w:val="Normal"/>
        <w:rPr>
          <w:sz w:val="21"/>
          <w:szCs w:val="21"/>
        </w:rPr>
      </w:pPr>
      <w:r>
        <w:rPr>
          <w:rFonts w:ascii="Calibri" w:hAnsi="Calibri"/>
          <w:sz w:val="21"/>
          <w:szCs w:val="21"/>
        </w:rPr>
        <w:t xml:space="preserve"/>
      </w:r>
    </w:p>
    <w:tbl>
      <w:tblPr>
        <w:tblStyle w:val="PlainTable1"/>
        <w:tblW w:w="10218" w:type="dxa"/>
        <w:jc w:val="left"/>
        <w:tblInd w:w="0" w:type="dxa"/>
        <w:tblLayout w:type="fixed"/>
        <w:tblCellMar>
          <w:top w:w="0" w:type="dxa"/>
          <w:left w:w="5" w:type="dxa"/>
          <w:bottom w:w="0" w:type="dxa"/>
          <w:right w:w="5" w:type="dxa"/>
        </w:tblCellMar>
      </w:tblPr>
      <w:tblGrid>
        <w:gridCol w:w="7481"/>
        <w:gridCol w:w="2736"/>
      </w:tblGrid>
      <w:tr>
        <w:trPr>
          <w:trHeight w:val="300" w:hRule="atLeast"/>
        </w:trPr>
        <w:tc>
          <w:tcPr>
            <w:tcW w:w="7481" w:type="dxa"/>
            <w:cnfStyle w:val="001000000000" w:firstRow="0" w:lastRow="0" w:firstColumn="1" w:lastColumn="0" w:oddVBand="0" w:evenVBand="0" w:oddHBand="0" w:evenHBand="0" w:firstRowFirstColumn="0" w:firstRowLastColumn="0" w:lastRowFirstColumn="0" w:lastRowLastColumn="0"/>
            <w:tcBorders>
              <w:top w:val="single" w:sz="4" w:space="0" w:color="FFFFFF"/>
              <w:left w:val="single" w:sz="4" w:space="0" w:color="FFFFFF"/>
              <w:bottom w:val="single" w:sz="4" w:space="0" w:color="FFFFFF"/>
              <w:right w:val="single" w:sz="4" w:space="0" w:color="FFFFFF"/>
            </w:tcBorders>
          </w:tcPr>
          <w:p>
            <w:pPr>
              <w:pStyle w:val="Contenudetableau"/>
              <w:widowControl/>
              <w:numPr>
                <w:ilvl w:val="0"/>
                <w:numId w:val="4"/>
              </w:numPr>
              <w:suppressAutoHyphens w:val="true"/>
              <w:spacing w:lineRule="auto" w:line="240" w:before="0" w:after="0"/>
              <w:jc w:val="left"/>
              <w:rPr>
                <w:rFonts w:ascii="Calibri" w:hAnsi="Calibri" w:eastAsia="Calibri" w:cs=""/>
                <w:b/>
                <w:bCs/>
                <w:kern w:val="0"/>
                <w:sz w:val="22"/>
                <w:szCs w:val="22"/>
                <w:lang w:val="fr-FR" w:eastAsia="en-US" w:bidi="ar-SA"/>
              </w:rPr>
            </w:pPr>
            <w:r>
              <w:rPr>
                <w:rFonts w:eastAsia="Calibri" w:cs="" w:ascii="Calibri" w:hAnsi="Calibri"/>
                <w:b/>
                <w:bCs/>
                <w:kern w:val="0"/>
                <w:sz w:val="20"/>
                <w:szCs w:val="20"/>
                <w:lang w:val="fr-FR" w:eastAsia="en-US" w:bidi="ar-SA"/>
              </w:rPr>
              <w:t xml:space="preserve"/>
            </w:r>
            <w:r>
              <w:rPr>
                <w:rFonts w:eastAsia="Calibri" w:cs="" w:ascii="Calibri" w:hAnsi="Calibri"/>
                <w:b w:val="false"/>
                <w:bCs w:val="false"/>
                <w:color w:val="002060"/>
                <w:kern w:val="0"/>
                <w:sz w:val="22"/>
                <w:szCs w:val="22"/>
                <w:lang w:val="fr-FR" w:eastAsia="en-US" w:bidi="ar-SA"/>
              </w:rPr>
              <w:t xml:space="preserve">Master Affaires Internationales</w:t>
            </w:r>
            <w:r>
              <w:rPr>
                <w:rFonts w:eastAsia="Calibri" w:cs="" w:ascii="Calibri" w:hAnsi="Calibri"/>
                <w:b/>
                <w:bCs/>
                <w:kern w:val="0"/>
                <w:sz w:val="20"/>
                <w:szCs w:val="20"/>
                <w:lang w:val="fr-FR" w:eastAsia="en-US" w:bidi="ar-SA"/>
              </w:rPr>
              <w:t xml:space="preserve"/>
            </w:r>
          </w:p>
          <w:p>
            <w:pPr>
              <w:pStyle w:val="Contenudetableau"/>
              <w:widowControl/>
              <w:numPr>
                <w:ilvl w:val="0"/>
                <w:numId w:val="0"/>
              </w:numPr>
              <w:suppressAutoHyphens w:val="true"/>
              <w:spacing w:lineRule="auto" w:line="240" w:before="0" w:after="0"/>
              <w:ind w:hanging="0" w:left="720"/>
              <w:jc w:val="left"/>
              <w:rPr>
                <w:rFonts w:ascii="Calibri" w:hAnsi="Calibri"/>
                <w:sz w:val="20"/>
                <w:szCs w:val="20"/>
              </w:rPr>
            </w:pPr>
            <w:r>
              <w:rPr>
                <w:rFonts w:eastAsia="Calibri" w:cs="Calibri" w:ascii="Calibri" w:hAnsi="Calibri"/>
                <w:b w:val="false"/>
                <w:bCs w:val="false"/>
                <w:color w:val="002060"/>
                <w:kern w:val="0"/>
                <w:sz w:val="20"/>
                <w:szCs w:val="20"/>
                <w:lang w:val="fr-FR" w:eastAsia="en-US" w:bidi="ar-SA"/>
              </w:rPr>
              <w:t xml:space="preserve">Université Paris Nanterre</w:t>
            </w:r>
            <w:r>
              <w:rPr>
                <w:rFonts w:eastAsia="Calibri" w:cs="Calibri" w:ascii="Calibri" w:hAnsi="Calibri"/>
                <w:b w:val="false"/>
                <w:bCs w:val="false"/>
                <w:color w:val="auto"/>
                <w:kern w:val="0"/>
                <w:sz w:val="20"/>
                <w:szCs w:val="20"/>
                <w:lang w:val="fr-FR" w:eastAsia="en-US" w:bidi="ar-SA"/>
              </w:rPr>
              <w:t xml:space="preserve"/>
            </w:r>
            <w:r>
              <w:rPr>
                <w:rFonts w:eastAsia="Calibri" w:cs="Calibri" w:ascii="Calibri" w:hAnsi="Calibri"/>
                <w:b w:val="false"/>
                <w:bCs w:val="false"/>
                <w:color w:val="002060"/>
                <w:kern w:val="0"/>
                <w:sz w:val="20"/>
                <w:szCs w:val="20"/>
                <w:lang w:val="fr-FR" w:eastAsia="en-US" w:bidi="ar-SA"/>
              </w:rPr>
              <w:t xml:space="preserve"/>
            </w:r>
          </w:p>
        </w:tc>
        <w:tc>
          <w:tcPr>
            <w:tcW w:w="2736" w:type="dxa"/>
            <w:cnfStyle w:val="000000000000" w:firstRow="0" w:lastRow="0" w:firstColumn="0" w:lastColumn="0" w:oddVBand="0" w:evenVBand="0" w:oddHBand="0" w:evenHBand="0" w:firstRowFirstColumn="0" w:firstRowLastColumn="0" w:lastRowFirstColumn="0" w:lastRowLastColumn="0"/>
            <w:tcBorders>
              <w:top w:val="single" w:sz="4" w:space="0" w:color="FFFFFF"/>
              <w:left w:val="single" w:sz="4" w:space="0" w:color="FFFFFF"/>
              <w:bottom w:val="single" w:sz="4" w:space="0" w:color="FFFFFF"/>
              <w:right w:val="single" w:sz="4" w:space="0" w:color="FFFFFF"/>
            </w:tcBorders>
          </w:tcPr>
          <w:p>
            <w:pPr>
              <w:pStyle w:val="Contenudetableau"/>
              <w:widowControl/>
              <w:suppressAutoHyphens w:val="true"/>
              <w:spacing w:lineRule="auto" w:line="240" w:before="0" w:after="0"/>
              <w:jc w:val="center"/>
              <w:rPr>
                <w:b w:val="false"/>
                <w:bCs w:val="false"/>
              </w:rPr>
            </w:pPr>
            <w:r>
              <w:rPr>
                <w:rFonts w:eastAsia="Calibri" w:cs="" w:ascii="Calibri" w:hAnsi="Calibri"/>
                <w:b w:val="false"/>
                <w:bCs w:val="false"/>
                <w:color w:val="002060"/>
                <w:kern w:val="0"/>
                <w:sz w:val="22"/>
                <w:szCs w:val="22"/>
                <w:lang w:val="fr-FR" w:eastAsia="en-US" w:bidi="ar-SA"/>
              </w:rPr>
              <w:t xml:space="preserve">2014</w:t>
            </w:r>
          </w:p>
        </w:tc>
      </w:tr>
    </w:tbl>
    <w:p>
      <w:pPr>
        <w:pStyle w:val="Normal"/>
        <w:rPr>
          <w:sz w:val="21"/>
          <w:szCs w:val="21"/>
        </w:rPr>
      </w:pPr>
      <w:r>
        <w:rPr>
          <w:rFonts w:ascii="Calibri" w:hAnsi="Calibri"/>
          <w:sz w:val="21"/>
          <w:szCs w:val="21"/>
        </w:rPr>
        <w:t xml:space="preserve"/>
      </w:r>
    </w:p>
    <w:tbl>
      <w:tblPr>
        <w:tblStyle w:val="PlainTable1"/>
        <w:tblW w:w="10218" w:type="dxa"/>
        <w:jc w:val="left"/>
        <w:tblInd w:w="0" w:type="dxa"/>
        <w:tblLayout w:type="fixed"/>
        <w:tblCellMar>
          <w:top w:w="0" w:type="dxa"/>
          <w:left w:w="5" w:type="dxa"/>
          <w:bottom w:w="0" w:type="dxa"/>
          <w:right w:w="5" w:type="dxa"/>
        </w:tblCellMar>
      </w:tblPr>
      <w:tblGrid>
        <w:gridCol w:w="7481"/>
        <w:gridCol w:w="2736"/>
      </w:tblGrid>
      <w:tr>
        <w:trPr>
          <w:trHeight w:val="300" w:hRule="atLeast"/>
        </w:trPr>
        <w:tc>
          <w:tcPr>
            <w:tcW w:w="7481" w:type="dxa"/>
            <w:cnfStyle w:val="001000000000" w:firstRow="0" w:lastRow="0" w:firstColumn="1" w:lastColumn="0" w:oddVBand="0" w:evenVBand="0" w:oddHBand="0" w:evenHBand="0" w:firstRowFirstColumn="0" w:firstRowLastColumn="0" w:lastRowFirstColumn="0" w:lastRowLastColumn="0"/>
            <w:tcBorders>
              <w:top w:val="single" w:sz="4" w:space="0" w:color="FFFFFF"/>
              <w:left w:val="single" w:sz="4" w:space="0" w:color="FFFFFF"/>
              <w:bottom w:val="single" w:sz="4" w:space="0" w:color="FFFFFF"/>
              <w:right w:val="single" w:sz="4" w:space="0" w:color="FFFFFF"/>
            </w:tcBorders>
          </w:tcPr>
          <w:p>
            <w:pPr>
              <w:pStyle w:val="Contenudetableau"/>
              <w:widowControl/>
              <w:numPr>
                <w:ilvl w:val="0"/>
                <w:numId w:val="4"/>
              </w:numPr>
              <w:suppressAutoHyphens w:val="true"/>
              <w:spacing w:lineRule="auto" w:line="240" w:before="0" w:after="0"/>
              <w:jc w:val="left"/>
              <w:rPr>
                <w:rFonts w:ascii="Calibri" w:hAnsi="Calibri" w:eastAsia="Calibri" w:cs=""/>
                <w:b/>
                <w:bCs/>
                <w:kern w:val="0"/>
                <w:sz w:val="22"/>
                <w:szCs w:val="22"/>
                <w:lang w:val="fr-FR" w:eastAsia="en-US" w:bidi="ar-SA"/>
              </w:rPr>
            </w:pPr>
            <w:r>
              <w:rPr>
                <w:rFonts w:eastAsia="Calibri" w:cs="" w:ascii="Calibri" w:hAnsi="Calibri"/>
                <w:b/>
                <w:bCs/>
                <w:kern w:val="0"/>
                <w:sz w:val="20"/>
                <w:szCs w:val="20"/>
                <w:lang w:val="fr-FR" w:eastAsia="en-US" w:bidi="ar-SA"/>
              </w:rPr>
              <w:t xml:space="preserve"/>
            </w:r>
            <w:r>
              <w:rPr>
                <w:rFonts w:eastAsia="Calibri" w:cs="" w:ascii="Calibri" w:hAnsi="Calibri"/>
                <w:b w:val="false"/>
                <w:bCs w:val="false"/>
                <w:color w:val="002060"/>
                <w:kern w:val="0"/>
                <w:sz w:val="22"/>
                <w:szCs w:val="22"/>
                <w:lang w:val="fr-FR" w:eastAsia="en-US" w:bidi="ar-SA"/>
              </w:rPr>
              <w:t xml:space="preserve">Master Management global des achats et de la chaîne logistique</w:t>
            </w:r>
            <w:r>
              <w:rPr>
                <w:rFonts w:eastAsia="Calibri" w:cs="" w:ascii="Calibri" w:hAnsi="Calibri"/>
                <w:b/>
                <w:bCs/>
                <w:kern w:val="0"/>
                <w:sz w:val="20"/>
                <w:szCs w:val="20"/>
                <w:lang w:val="fr-FR" w:eastAsia="en-US" w:bidi="ar-SA"/>
              </w:rPr>
              <w:t xml:space="preserve"/>
            </w:r>
          </w:p>
          <w:p>
            <w:pPr>
              <w:pStyle w:val="Contenudetableau"/>
              <w:widowControl/>
              <w:numPr>
                <w:ilvl w:val="0"/>
                <w:numId w:val="0"/>
              </w:numPr>
              <w:suppressAutoHyphens w:val="true"/>
              <w:spacing w:lineRule="auto" w:line="240" w:before="0" w:after="0"/>
              <w:ind w:hanging="0" w:left="720"/>
              <w:jc w:val="left"/>
              <w:rPr>
                <w:rFonts w:ascii="Calibri" w:hAnsi="Calibri"/>
                <w:sz w:val="20"/>
                <w:szCs w:val="20"/>
              </w:rPr>
            </w:pPr>
            <w:r>
              <w:rPr>
                <w:rFonts w:eastAsia="Calibri" w:cs="Calibri" w:ascii="Calibri" w:hAnsi="Calibri"/>
                <w:b w:val="false"/>
                <w:bCs w:val="false"/>
                <w:color w:val="002060"/>
                <w:kern w:val="0"/>
                <w:sz w:val="20"/>
                <w:szCs w:val="20"/>
                <w:lang w:val="fr-FR" w:eastAsia="en-US" w:bidi="ar-SA"/>
              </w:rPr>
              <w:t xml:space="preserve">Université Paris Saclay</w:t>
            </w:r>
            <w:r>
              <w:rPr>
                <w:rFonts w:eastAsia="Calibri" w:cs="Calibri" w:ascii="Calibri" w:hAnsi="Calibri"/>
                <w:b w:val="false"/>
                <w:bCs w:val="false"/>
                <w:color w:val="auto"/>
                <w:kern w:val="0"/>
                <w:sz w:val="20"/>
                <w:szCs w:val="20"/>
                <w:lang w:val="fr-FR" w:eastAsia="en-US" w:bidi="ar-SA"/>
              </w:rPr>
              <w:t xml:space="preserve"/>
            </w:r>
            <w:r>
              <w:rPr>
                <w:rFonts w:eastAsia="Calibri" w:cs="Calibri" w:ascii="Calibri" w:hAnsi="Calibri"/>
                <w:b w:val="false"/>
                <w:bCs w:val="false"/>
                <w:color w:val="002060"/>
                <w:kern w:val="0"/>
                <w:sz w:val="20"/>
                <w:szCs w:val="20"/>
                <w:lang w:val="fr-FR" w:eastAsia="en-US" w:bidi="ar-SA"/>
              </w:rPr>
              <w:t xml:space="preserve"/>
            </w:r>
          </w:p>
        </w:tc>
        <w:tc>
          <w:tcPr>
            <w:tcW w:w="2736" w:type="dxa"/>
            <w:cnfStyle w:val="000000000000" w:firstRow="0" w:lastRow="0" w:firstColumn="0" w:lastColumn="0" w:oddVBand="0" w:evenVBand="0" w:oddHBand="0" w:evenHBand="0" w:firstRowFirstColumn="0" w:firstRowLastColumn="0" w:lastRowFirstColumn="0" w:lastRowLastColumn="0"/>
            <w:tcBorders>
              <w:top w:val="single" w:sz="4" w:space="0" w:color="FFFFFF"/>
              <w:left w:val="single" w:sz="4" w:space="0" w:color="FFFFFF"/>
              <w:bottom w:val="single" w:sz="4" w:space="0" w:color="FFFFFF"/>
              <w:right w:val="single" w:sz="4" w:space="0" w:color="FFFFFF"/>
            </w:tcBorders>
          </w:tcPr>
          <w:p>
            <w:pPr>
              <w:pStyle w:val="Contenudetableau"/>
              <w:widowControl/>
              <w:suppressAutoHyphens w:val="true"/>
              <w:spacing w:lineRule="auto" w:line="240" w:before="0" w:after="0"/>
              <w:jc w:val="center"/>
              <w:rPr>
                <w:b w:val="false"/>
                <w:bCs w:val="false"/>
              </w:rPr>
            </w:pPr>
            <w:r>
              <w:rPr>
                <w:rFonts w:eastAsia="Calibri" w:cs="" w:ascii="Calibri" w:hAnsi="Calibri"/>
                <w:b w:val="false"/>
                <w:bCs w:val="false"/>
                <w:color w:val="002060"/>
                <w:kern w:val="0"/>
                <w:sz w:val="22"/>
                <w:szCs w:val="22"/>
                <w:lang w:val="fr-FR" w:eastAsia="en-US" w:bidi="ar-SA"/>
              </w:rPr>
              <w:t xml:space="preserve">2016</w:t>
            </w:r>
          </w:p>
        </w:tc>
      </w:tr>
    </w:tbl>
    <w:p>
      <w:pPr>
        <w:pStyle w:val="Normal"/>
        <w:rPr>
          <w:sz w:val="21"/>
          <w:szCs w:val="21"/>
        </w:rPr>
      </w:pPr>
      <w:r>
        <w:rPr>
          <w:rFonts w:ascii="Calibri" w:hAnsi="Calibri"/>
          <w:sz w:val="21"/>
          <w:szCs w:val="21"/>
        </w:rPr>
        <w:t xml:space="preserve"/>
      </w:r>
      <w:r>
        <w:rPr>
          <w:sz w:val="21"/>
          <w:szCs w:val="21"/>
        </w:rPr>
        <w:t xml:space="preserve"/>
      </w:r>
    </w:p>
    <w:p>
      <w:pPr>
        <w:pStyle w:val="Normal"/>
        <w:rPr/>
      </w:pPr>
      <w:r>
        <w:rPr/>
        <mc:AlternateContent>
          <mc:Choice Requires="wps">
            <w:drawing>
              <wp:inline distT="0" distB="0" distL="0" distR="0" wp14:anchorId="2466F43A">
                <wp:extent cx="6494145" cy="309880"/>
                <wp:effectExtent l="0" t="0" r="20955" b="13970"/>
                <wp:docPr id="1005" name="Rectangle : coins arrondis 3"/>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600">
                          <a:solidFill>
                            <a:srgbClr val="02466d"/>
                          </a:solidFill>
                          <a:round/>
                        </a:ln>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LANGUES</w:t>
                            </w:r>
                          </w:p>
                        </w:txbxContent>
                      </wps:txbx>
                      <wps:bodyPr anchor="t">
                        <a:noAutofit/>
                      </wps:bodyPr>
                    </wps:wsp>
                  </a:graphicData>
                </a:graphic>
              </wp:inline>
            </w:drawing>
          </mc:Choice>
          <mc:Fallback>
            <w:pict/>
          </mc:Fallback>
        </mc:AlternateContent>
      </w:r>
    </w:p>
    <w:p>
      <w:pPr>
        <w:pStyle w:val="Normal"/>
        <w:rPr>
          <w:sz w:val="21"/>
          <w:szCs w:val="21"/>
        </w:rPr>
      </w:pPr>
      <w:r>
        <w:rPr>
          <w:rFonts w:ascii="Calibri" w:hAnsi="Calibri"/>
          <w:sz w:val="21"/>
          <w:szCs w:val="21"/>
        </w:rPr>
        <w:t xml:space="preserve"/>
      </w:r>
    </w:p>
    <w:p>
      <w:pPr>
        <w:pStyle w:val="Normal"/>
        <w:numPr>
          <w:ilvl w:val="0"/>
          <w:numId w:val="6"/>
        </w:numPr>
        <w:rPr>
          <w:sz w:val="21"/>
          <w:szCs w:val="21"/>
        </w:rPr>
      </w:pPr>
      <w:r>
        <w:rPr>
          <w:rFonts w:cs="Calibri" w:ascii="Calibri" w:hAnsi="Calibri"/>
          <w:color w:val="002060"/>
          <w:sz w:val="21"/>
          <w:szCs w:val="21"/>
        </w:rPr>
        <w:t xml:space="preserve">Anglais :  </w:t>
        <w:tab/>
        <w:t xml:space="preserve">courant C1</w:t>
      </w:r>
    </w:p>
    <w:p>
      <w:pPr>
        <w:pStyle w:val="Normal"/>
        <w:numPr>
          <w:ilvl w:val="0"/>
          <w:numId w:val="6"/>
        </w:numPr>
        <w:rPr>
          <w:sz w:val="21"/>
          <w:szCs w:val="21"/>
        </w:rPr>
      </w:pPr>
      <w:r>
        <w:rPr>
          <w:rFonts w:cs="Calibri" w:ascii="Calibri" w:hAnsi="Calibri"/>
          <w:color w:val="002060"/>
          <w:sz w:val="21"/>
          <w:szCs w:val="21"/>
        </w:rPr>
        <w:t xml:space="preserve">Espagnol :  </w:t>
        <w:tab/>
        <w:t xml:space="preserve">avancé C2</w:t>
      </w:r>
    </w:p>
    <w:p>
      <w:pPr>
        <w:pStyle w:val="Normal"/>
        <w:numPr>
          <w:ilvl w:val="0"/>
          <w:numId w:val="6"/>
        </w:numPr>
        <w:rPr>
          <w:sz w:val="21"/>
          <w:szCs w:val="21"/>
        </w:rPr>
      </w:pPr>
      <w:r>
        <w:rPr>
          <w:rFonts w:cs="Calibri" w:ascii="Calibri" w:hAnsi="Calibri"/>
          <w:color w:val="002060"/>
          <w:sz w:val="21"/>
          <w:szCs w:val="21"/>
        </w:rPr>
        <w:t xml:space="preserve">Allemand :  </w:t>
        <w:tab/>
        <w:t xml:space="preserve">intermédiaire B2</w:t>
      </w:r>
    </w:p>
    <w:p>
      <w:pPr>
        <w:pStyle w:val="Normal"/>
        <w:numPr>
          <w:ilvl w:val="0"/>
          <w:numId w:val="6"/>
        </w:numPr>
        <w:rPr>
          <w:sz w:val="21"/>
          <w:szCs w:val="21"/>
        </w:rPr>
      </w:pPr>
      <w:r>
        <w:rPr>
          <w:rFonts w:cs="Calibri" w:ascii="Calibri" w:hAnsi="Calibri"/>
          <w:color w:val="002060"/>
          <w:sz w:val="21"/>
          <w:szCs w:val="21"/>
        </w:rPr>
        <w:t xml:space="preserve">Portugais :  </w:t>
        <w:tab/>
        <w:t xml:space="preserve">intermédiaire B1</w:t>
        <w:tab/>
      </w:r>
    </w:p>
    <w:p>
      <w:pPr>
        <w:pStyle w:val="Normal"/>
        <w:tabs>
          <w:tab w:val="clear" w:pos="708"/>
          <w:tab w:val="left" w:pos="1134" w:leader="none"/>
        </w:tabs>
        <w:spacing w:before="60" w:after="0"/>
        <w:ind w:hanging="567" w:left="1134"/>
        <w:jc w:val="left"/>
        <w:rPr/>
      </w:pPr>
      <w:r>
        <w:rPr>
          <w:rFonts w:cs="Calibri" w:ascii="Calibri" w:hAnsi="Calibri"/>
          <w:b w:val="false"/>
          <w:bCs w:val="false"/>
          <w:color w:val="000000"/>
          <w:sz w:val="21"/>
          <w:szCs w:val="21"/>
        </w:rPr>
        <w:t xml:space="preserve"/>
      </w:r>
    </w:p>
    <w:p>
      <w:pPr>
        <w:pStyle w:val="Normal"/>
        <w:rPr/>
      </w:pPr>
      <w:r>
        <w:rPr/>
        <mc:AlternateContent>
          <mc:Choice Requires="wps">
            <w:drawing>
              <wp:inline distT="0" distB="0" distL="0" distR="0" wp14:anchorId="1CB42732">
                <wp:extent cx="6494145" cy="309880"/>
                <wp:effectExtent l="0" t="0" r="20955" b="13970"/>
                <wp:docPr id="1006" name="Rectangle : coins arrondis 1"/>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600">
                          <a:solidFill>
                            <a:srgbClr val="02466d"/>
                          </a:solidFill>
                          <a:round/>
                        </a:ln>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EXPÉRIENCES PROFESSIONNELLES</w:t>
                            </w:r>
                          </w:p>
                        </w:txbxContent>
                      </wps:txbx>
                      <wps:bodyPr anchor="t">
                        <a:noAutofit/>
                      </wps:bodyPr>
                    </wps:wsp>
                  </a:graphicData>
                </a:graphic>
              </wp:inline>
            </w:drawing>
          </mc:Choice>
          <mc:Fallback>
            <w:pict/>
          </mc:Fallback>
        </mc:AlternateContent>
      </w:r>
    </w:p>
    <w:p>
      <w:pPr>
        <w:pStyle w:val="Normal"/>
        <w:rPr/>
      </w:pPr>
      <w:r>
        <w:rPr/>
        <w:t xml:space="preserve"/>
      </w:r>
    </w:p>
    <w:tbl>
      <w:tblPr>
        <w:tblW w:w="10200" w:type="dxa"/>
        <w:jc w:val="left"/>
        <w:tblInd w:w="0" w:type="dxa"/>
        <w:tblLayout w:type="fixed"/>
        <w:tblCellMar>
          <w:top w:w="0" w:type="dxa"/>
          <w:left w:w="2" w:type="dxa"/>
          <w:bottom w:w="57" w:type="dxa"/>
          <w:right w:w="0" w:type="dxa"/>
        </w:tblCellMar>
      </w:tblPr>
      <w:tblGrid>
        <w:gridCol w:w="4137"/>
        <w:gridCol w:w="3403"/>
        <w:gridCol w:w="2660"/>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ERAMET</w:t>
            </w:r>
          </w:p>
        </w:tc>
        <w:tc>
          <w:tcPr>
            <w:tcW w:w="3403"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10.2024 - 04.2025</w:t>
            </w:r>
          </w:p>
        </w:tc>
        <w:tc>
          <w:tcPr>
            <w:tcW w:w="2660"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7 mois</w:t>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Category Manager</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r>
              <w:rPr>
                <w:rFonts w:ascii="Callibri" w:hAnsi="Callibri"/>
                <w:b/>
                <w:bCs/>
                <w:color w:val="002060"/>
                <w:sz w:val="21"/>
                <w:szCs w:val="21"/>
                <w:u w:val="none"/>
              </w:rPr>
              <w:t>Mission :</w:t>
            </w:r>
            <w:r>
              <w:rPr>
                <w:rFonts w:ascii="Callibri" w:hAnsi="Callibri"/>
                <w:color w:val="002060"/>
                <w:sz w:val="21"/>
                <w:szCs w:val="21"/>
                <w:u w:val="none"/>
              </w:rPr>
              <w:t xml:space="preserve"> </w:t>
            </w:r>
            <w:r>
              <w:rPr>
                <w:rFonts w:ascii="Callibri" w:hAnsi="Callibri"/>
                <w:color w:val="002060"/>
                <w:sz w:val="21"/>
                <w:szCs w:val="21"/>
              </w:rPr>
              <w:t xml:space="preserve">Gestion du portefeuille achats d'engins miniers, maintenance et pneus avec un volume d’achat de 80 M€.</w:t>
            </w:r>
            <w:r>
              <w:rPr>
                <w:rFonts w:ascii="Callibri" w:hAnsi="Callibri"/>
                <w:sz w:val="21"/>
                <w:szCs w:val="21"/>
              </w:rPr>
              <w:t xml:space="preserve"/>
            </w:r>
          </w:p>
          <w:p>
            <w:pPr>
              <w:pStyle w:val="Contenudetableau"/>
              <w:numPr>
                <w:ilvl w:val="0"/>
                <w:numId w:val="5"/>
              </w:numPr>
              <w:rPr/>
            </w:pPr>
            <w:r>
              <w:rPr>
                <w:rFonts w:ascii="Callibri" w:hAnsi="Callibri"/>
                <w:color w:val="002060"/>
                <w:sz w:val="21"/>
                <w:szCs w:val="21"/>
              </w:rPr>
              <w:t xml:space="preserve">Masse achat: 80M€</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Périmètre: engins miniers, maintenance, pneus</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403"/>
        <w:gridCol w:w="2660"/>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OFFICINE PANERAI</w:t>
            </w:r>
          </w:p>
        </w:tc>
        <w:tc>
          <w:tcPr>
            <w:tcW w:w="3403"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11.2022 - 09.2024</w:t>
            </w:r>
          </w:p>
        </w:tc>
        <w:tc>
          <w:tcPr>
            <w:tcW w:w="2660"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1 an et 11 mois</w:t>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Acheteur</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r>
              <w:rPr>
                <w:rFonts w:ascii="Callibri" w:hAnsi="Callibri"/>
                <w:b/>
                <w:bCs/>
                <w:color w:val="002060"/>
                <w:sz w:val="21"/>
                <w:szCs w:val="21"/>
                <w:u w:val="none"/>
              </w:rPr>
              <w:t>Mission :</w:t>
            </w:r>
            <w:r>
              <w:rPr>
                <w:rFonts w:ascii="Callibri" w:hAnsi="Callibri"/>
                <w:color w:val="002060"/>
                <w:sz w:val="21"/>
                <w:szCs w:val="21"/>
                <w:u w:val="none"/>
              </w:rPr>
              <w:t xml:space="preserve"> </w:t>
            </w:r>
            <w:r>
              <w:rPr>
                <w:rFonts w:ascii="Callibri" w:hAnsi="Callibri"/>
                <w:color w:val="002060"/>
                <w:sz w:val="21"/>
                <w:szCs w:val="21"/>
              </w:rPr>
              <w:t xml:space="preserve">Responsable du sourcing complet des mouvements et composants associés.</w:t>
            </w:r>
            <w:r>
              <w:rPr>
                <w:rFonts w:ascii="Callibri" w:hAnsi="Callibri"/>
                <w:sz w:val="21"/>
                <w:szCs w:val="21"/>
              </w:rPr>
              <w:t xml:space="preserve"/>
            </w:r>
          </w:p>
          <w:p>
            <w:pPr>
              <w:pStyle w:val="Contenudetableau"/>
              <w:numPr>
                <w:ilvl w:val="0"/>
                <w:numId w:val="5"/>
              </w:numPr>
              <w:rPr/>
            </w:pPr>
            <w:r>
              <w:rPr>
                <w:rFonts w:ascii="Callibri" w:hAnsi="Callibri"/>
                <w:color w:val="002060"/>
                <w:sz w:val="21"/>
                <w:szCs w:val="21"/>
              </w:rPr>
              <w:t xml:space="preserve">Analyse Make or Buy sur le portefeuille mouvements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Appels d'offres des pièces achetées et sous-traitées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Création d'un panel de fournisseurs pour les composants des mouvements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Rapports stratégiques y compris savings</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403"/>
        <w:gridCol w:w="2660"/>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ALTEN POUR ALSTOM</w:t>
            </w:r>
          </w:p>
        </w:tc>
        <w:tc>
          <w:tcPr>
            <w:tcW w:w="3403"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10.2021 - 03.2022</w:t>
            </w:r>
          </w:p>
        </w:tc>
        <w:tc>
          <w:tcPr>
            <w:tcW w:w="2660"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6 mois</w:t>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Consultant manager achats indirects</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r>
              <w:rPr>
                <w:rFonts w:ascii="Callibri" w:hAnsi="Callibri"/>
                <w:b/>
                <w:bCs/>
                <w:color w:val="002060"/>
                <w:sz w:val="21"/>
                <w:szCs w:val="21"/>
                <w:u w:val="none"/>
              </w:rPr>
              <w:t>Mission :</w:t>
            </w:r>
            <w:r>
              <w:rPr>
                <w:rFonts w:ascii="Callibri" w:hAnsi="Callibri"/>
                <w:color w:val="002060"/>
                <w:sz w:val="21"/>
                <w:szCs w:val="21"/>
                <w:u w:val="none"/>
              </w:rPr>
              <w:t xml:space="preserve"> </w:t>
            </w:r>
            <w:r>
              <w:rPr>
                <w:rFonts w:ascii="Callibri" w:hAnsi="Callibri"/>
                <w:color w:val="002060"/>
                <w:sz w:val="21"/>
                <w:szCs w:val="21"/>
              </w:rPr>
              <w:t xml:space="preserve">Définition et pilotage de la stratégie d’achats indirects pour Alstom.</w:t>
            </w:r>
            <w:r>
              <w:rPr>
                <w:rFonts w:ascii="Callibri" w:hAnsi="Callibri"/>
                <w:sz w:val="21"/>
                <w:szCs w:val="21"/>
              </w:rPr>
              <w:t xml:space="preserve"/>
            </w:r>
          </w:p>
          <w:p>
            <w:pPr>
              <w:pStyle w:val="Contenudetableau"/>
              <w:numPr>
                <w:ilvl w:val="0"/>
                <w:numId w:val="5"/>
              </w:numPr>
              <w:rPr/>
            </w:pPr>
            <w:r>
              <w:rPr>
                <w:rFonts w:ascii="Callibri" w:hAnsi="Callibri"/>
                <w:color w:val="002060"/>
                <w:sz w:val="21"/>
                <w:szCs w:val="21"/>
              </w:rPr>
              <w:t xml:space="preserve">Gestion des appels d'offres catégories indirects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Elaboration de la stratégie achat indirect, CAPEX</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Management fonctionnel d'une analyste achat</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Masse achat: 40MCHF</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Périmètre: prestations intellectuelles, CAPEX, facility management</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403"/>
        <w:gridCol w:w="2660"/>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ALTEN POUR ARCELORMITTAL</w:t>
            </w:r>
          </w:p>
        </w:tc>
        <w:tc>
          <w:tcPr>
            <w:tcW w:w="3403"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05.2021 - 10.2021</w:t>
            </w:r>
          </w:p>
        </w:tc>
        <w:tc>
          <w:tcPr>
            <w:tcW w:w="2660"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6 mois</w:t>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Consultant</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r>
              <w:rPr>
                <w:rFonts w:ascii="Callibri" w:hAnsi="Callibri"/>
                <w:b/>
                <w:bCs/>
                <w:color w:val="002060"/>
                <w:sz w:val="21"/>
                <w:szCs w:val="21"/>
                <w:u w:val="none"/>
              </w:rPr>
              <w:t>Mission :</w:t>
            </w:r>
            <w:r>
              <w:rPr>
                <w:rFonts w:ascii="Callibri" w:hAnsi="Callibri"/>
                <w:color w:val="002060"/>
                <w:sz w:val="21"/>
                <w:szCs w:val="21"/>
                <w:u w:val="none"/>
              </w:rPr>
              <w:t xml:space="preserve"> </w:t>
            </w:r>
            <w:r>
              <w:rPr>
                <w:rFonts w:ascii="Callibri" w:hAnsi="Callibri"/>
                <w:color w:val="002060"/>
                <w:sz w:val="21"/>
                <w:szCs w:val="21"/>
              </w:rPr>
              <w:t xml:space="preserve">Mise en place de la stratégie achats et gestion des contrats pour les filiales d’ArcelorMittal.</w:t>
            </w:r>
            <w:r>
              <w:rPr>
                <w:rFonts w:ascii="Callibri" w:hAnsi="Callibri"/>
                <w:sz w:val="21"/>
                <w:szCs w:val="21"/>
              </w:rPr>
              <w:t xml:space="preserve"/>
            </w:r>
          </w:p>
          <w:p>
            <w:pPr>
              <w:pStyle w:val="Contenudetableau"/>
              <w:numPr>
                <w:ilvl w:val="0"/>
                <w:numId w:val="5"/>
              </w:numPr>
              <w:rPr/>
            </w:pPr>
            <w:r>
              <w:rPr>
                <w:rFonts w:ascii="Callibri" w:hAnsi="Callibri"/>
                <w:color w:val="002060"/>
                <w:sz w:val="21"/>
                <w:szCs w:val="21"/>
              </w:rPr>
              <w:t xml:space="preserve">Elaboration de la stratégie achat et déploiement dans les filiales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Contract management</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Renégociation des contrats cadres de maintenance d’engins miniers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Chef de projet achats électrification flotte</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Management fonctionnel des acheteurs en local</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Masse achat: 160M€</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Périmètre: travaux neufs et revampings</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403"/>
        <w:gridCol w:w="2660"/>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MASTERIS - GROUPE SNCF</w:t>
            </w:r>
          </w:p>
        </w:tc>
        <w:tc>
          <w:tcPr>
            <w:tcW w:w="3403"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12.2020 - 05.2021</w:t>
            </w:r>
          </w:p>
        </w:tc>
        <w:tc>
          <w:tcPr>
            <w:tcW w:w="2660"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6 mois</w:t>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Consultant acheteur ferroviaire</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r>
              <w:rPr>
                <w:rFonts w:ascii="Callibri" w:hAnsi="Callibri"/>
                <w:b/>
                <w:bCs/>
                <w:color w:val="002060"/>
                <w:sz w:val="21"/>
                <w:szCs w:val="21"/>
                <w:u w:val="none"/>
              </w:rPr>
              <w:t>Mission :</w:t>
            </w:r>
            <w:r>
              <w:rPr>
                <w:rFonts w:ascii="Callibri" w:hAnsi="Callibri"/>
                <w:color w:val="002060"/>
                <w:sz w:val="21"/>
                <w:szCs w:val="21"/>
                <w:u w:val="none"/>
              </w:rPr>
              <w:t xml:space="preserve"> </w:t>
            </w:r>
            <w:r>
              <w:rPr>
                <w:rFonts w:ascii="Callibri" w:hAnsi="Callibri"/>
                <w:color w:val="002060"/>
                <w:sz w:val="21"/>
                <w:szCs w:val="21"/>
              </w:rPr>
              <w:t xml:space="preserve">Pilotage des achats de matériel roulant pour le groupe SNCF.</w:t>
            </w:r>
            <w:r>
              <w:rPr>
                <w:rFonts w:ascii="Callibri" w:hAnsi="Callibri"/>
                <w:sz w:val="21"/>
                <w:szCs w:val="21"/>
              </w:rPr>
              <w:t xml:space="preserve"/>
            </w:r>
          </w:p>
          <w:p>
            <w:pPr>
              <w:pStyle w:val="Contenudetableau"/>
              <w:numPr>
                <w:ilvl w:val="0"/>
                <w:numId w:val="5"/>
              </w:numPr>
              <w:rPr/>
            </w:pPr>
            <w:r>
              <w:rPr>
                <w:rFonts w:ascii="Callibri" w:hAnsi="Callibri"/>
                <w:color w:val="002060"/>
                <w:sz w:val="21"/>
                <w:szCs w:val="21"/>
              </w:rPr>
              <w:t xml:space="preserve">Masse achat: 80M€</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Périmètre : matériel roulant de train, tramway, métro</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403"/>
        <w:gridCol w:w="2660"/>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ALTRAN POUR AIRBUS</w:t>
            </w:r>
          </w:p>
        </w:tc>
        <w:tc>
          <w:tcPr>
            <w:tcW w:w="3403"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05.2019 - 07.2020</w:t>
            </w:r>
          </w:p>
        </w:tc>
        <w:tc>
          <w:tcPr>
            <w:tcW w:w="2660"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1 an et 3 mois</w:t>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Consultant achats</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r>
              <w:rPr>
                <w:rFonts w:ascii="Callibri" w:hAnsi="Callibri"/>
                <w:b/>
                <w:bCs/>
                <w:color w:val="002060"/>
                <w:sz w:val="21"/>
                <w:szCs w:val="21"/>
                <w:u w:val="none"/>
              </w:rPr>
              <w:t>Mission :</w:t>
            </w:r>
            <w:r>
              <w:rPr>
                <w:rFonts w:ascii="Callibri" w:hAnsi="Callibri"/>
                <w:color w:val="002060"/>
                <w:sz w:val="21"/>
                <w:szCs w:val="21"/>
                <w:u w:val="none"/>
              </w:rPr>
              <w:t xml:space="preserve"> </w:t>
            </w:r>
            <w:r>
              <w:rPr>
                <w:rFonts w:ascii="Callibri" w:hAnsi="Callibri"/>
                <w:color w:val="002060"/>
                <w:sz w:val="21"/>
                <w:szCs w:val="21"/>
              </w:rPr>
              <w:t xml:space="preserve">Gestion des achats liés aux cabines d’avion et aux projets de rénovation de métros.</w:t>
            </w:r>
            <w:r>
              <w:rPr>
                <w:rFonts w:ascii="Callibri" w:hAnsi="Callibri"/>
                <w:sz w:val="21"/>
                <w:szCs w:val="21"/>
              </w:rPr>
              <w:t xml:space="preserve"/>
            </w:r>
          </w:p>
          <w:p>
            <w:pPr>
              <w:pStyle w:val="Contenudetableau"/>
              <w:numPr>
                <w:ilvl w:val="0"/>
                <w:numId w:val="5"/>
              </w:numPr>
              <w:rPr/>
            </w:pPr>
            <w:r>
              <w:rPr>
                <w:rFonts w:ascii="Callibri" w:hAnsi="Callibri"/>
                <w:color w:val="002060"/>
                <w:sz w:val="21"/>
                <w:szCs w:val="21"/>
              </w:rPr>
              <w:t xml:space="preserve">Masse achat: 200M€</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Périmètre cabine d'avion: sièges, équipements d'urgence, textiles, galleys, éclairages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Achat projet: rénovation des métros de Lille (compresseur, convertisseur, tachymètres)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Claim Management</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Gestion des chiffrages achat amont</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Gestion des pièces de rechange</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Management fonctionnel de deux assistants achats</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403"/>
        <w:gridCol w:w="2660"/>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SWISS INTERNATIONAL AIRLINES</w:t>
            </w:r>
          </w:p>
        </w:tc>
        <w:tc>
          <w:tcPr>
            <w:tcW w:w="3403"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01.2017 - 04.2019</w:t>
            </w:r>
          </w:p>
        </w:tc>
        <w:tc>
          <w:tcPr>
            <w:tcW w:w="2660"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2 ans et 4 mois</w:t>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Personnel Navigant Commercial</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r>
              <w:rPr>
                <w:rFonts w:ascii="Callibri" w:hAnsi="Callibri"/>
                <w:b/>
                <w:bCs/>
                <w:color w:val="002060"/>
                <w:sz w:val="21"/>
                <w:szCs w:val="21"/>
                <w:u w:val="none"/>
              </w:rPr>
              <w:t>Mission :</w:t>
            </w:r>
            <w:r>
              <w:rPr>
                <w:rFonts w:ascii="Callibri" w:hAnsi="Callibri"/>
                <w:color w:val="002060"/>
                <w:sz w:val="21"/>
                <w:szCs w:val="21"/>
                <w:u w:val="none"/>
              </w:rPr>
              <w:t xml:space="preserve"> </w:t>
            </w:r>
            <w:r>
              <w:rPr>
                <w:rFonts w:ascii="Callibri" w:hAnsi="Callibri"/>
                <w:color w:val="002060"/>
                <w:sz w:val="21"/>
                <w:szCs w:val="21"/>
              </w:rPr>
              <w:t xml:space="preserve">Activités commerciales et de service à bord pour Swiss International Airlines.</w:t>
            </w:r>
            <w:r>
              <w:rPr>
                <w:rFonts w:ascii="Callibri" w:hAnsi="Callibri"/>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403"/>
        <w:gridCol w:w="2660"/>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RENAULT</w:t>
            </w:r>
          </w:p>
        </w:tc>
        <w:tc>
          <w:tcPr>
            <w:tcW w:w="3403"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09.2015 - 09.2016</w:t>
            </w:r>
          </w:p>
        </w:tc>
        <w:tc>
          <w:tcPr>
            <w:tcW w:w="2660"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1 an</w:t>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Acheteur</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r>
              <w:rPr>
                <w:rFonts w:ascii="Callibri" w:hAnsi="Callibri"/>
                <w:b/>
                <w:bCs/>
                <w:color w:val="002060"/>
                <w:sz w:val="21"/>
                <w:szCs w:val="21"/>
                <w:u w:val="none"/>
              </w:rPr>
              <w:t>Mission :</w:t>
            </w:r>
            <w:r>
              <w:rPr>
                <w:rFonts w:ascii="Callibri" w:hAnsi="Callibri"/>
                <w:color w:val="002060"/>
                <w:sz w:val="21"/>
                <w:szCs w:val="21"/>
                <w:u w:val="none"/>
              </w:rPr>
              <w:t xml:space="preserve"> </w:t>
            </w:r>
            <w:r>
              <w:rPr>
                <w:rFonts w:ascii="Callibri" w:hAnsi="Callibri"/>
                <w:color w:val="002060"/>
                <w:sz w:val="21"/>
                <w:szCs w:val="21"/>
              </w:rPr>
              <w:t xml:space="preserve">Gestion des achats pour la conversion de véhicules utilitaires légers.</w:t>
            </w:r>
            <w:r>
              <w:rPr>
                <w:rFonts w:ascii="Callibri" w:hAnsi="Callibri"/>
                <w:sz w:val="21"/>
                <w:szCs w:val="21"/>
              </w:rPr>
              <w:t xml:space="preserve"/>
            </w:r>
          </w:p>
          <w:p>
            <w:pPr>
              <w:pStyle w:val="Contenudetableau"/>
              <w:numPr>
                <w:ilvl w:val="0"/>
                <w:numId w:val="5"/>
              </w:numPr>
              <w:rPr/>
            </w:pPr>
            <w:r>
              <w:rPr>
                <w:rFonts w:ascii="Callibri" w:hAnsi="Callibri"/>
                <w:color w:val="002060"/>
                <w:sz w:val="21"/>
                <w:szCs w:val="21"/>
              </w:rPr>
              <w:t xml:space="preserve">Masse achat: 100M€</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Périmètre: conversions de véhicule utilaire léger</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403"/>
        <w:gridCol w:w="2660"/>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WORLD AND MORE</w:t>
            </w:r>
          </w:p>
        </w:tc>
        <w:tc>
          <w:tcPr>
            <w:tcW w:w="3403"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09.2013 - 04.2014</w:t>
            </w:r>
          </w:p>
        </w:tc>
        <w:tc>
          <w:tcPr>
            <w:tcW w:w="2660"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8 mois</w:t>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Acheteur alimentaire</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r>
              <w:rPr>
                <w:rFonts w:ascii="Callibri" w:hAnsi="Callibri"/>
                <w:b/>
                <w:bCs/>
                <w:color w:val="002060"/>
                <w:sz w:val="21"/>
                <w:szCs w:val="21"/>
                <w:u w:val="none"/>
              </w:rPr>
              <w:t>Mission :</w:t>
            </w:r>
            <w:r>
              <w:rPr>
                <w:rFonts w:ascii="Callibri" w:hAnsi="Callibri"/>
                <w:color w:val="002060"/>
                <w:sz w:val="21"/>
                <w:szCs w:val="21"/>
                <w:u w:val="none"/>
              </w:rPr>
              <w:t xml:space="preserve"> </w:t>
            </w:r>
            <w:r>
              <w:rPr>
                <w:rFonts w:ascii="Callibri" w:hAnsi="Callibri"/>
                <w:color w:val="002060"/>
                <w:sz w:val="21"/>
                <w:szCs w:val="21"/>
              </w:rPr>
              <w:t xml:space="preserve">Responsable du sourcing et de la négociation des produits alimentaires.</w:t>
            </w:r>
            <w:r>
              <w:rPr>
                <w:rFonts w:ascii="Callibri" w:hAnsi="Callibri"/>
                <w:sz w:val="21"/>
                <w:szCs w:val="21"/>
              </w:rPr>
              <w:t xml:space="preserve"/>
            </w:r>
          </w:p>
          <w:p>
            <w:pPr>
              <w:pStyle w:val="Contenudetableau"/>
              <w:numPr>
                <w:ilvl w:val="0"/>
                <w:numId w:val="5"/>
              </w:numPr>
              <w:rPr/>
            </w:pPr>
            <w:r>
              <w:rPr>
                <w:rFonts w:ascii="Callibri" w:hAnsi="Callibri"/>
                <w:color w:val="002060"/>
                <w:sz w:val="21"/>
                <w:szCs w:val="21"/>
              </w:rPr>
              <w:t xml:space="preserve">Définition du besoin en achat</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Sourcing de produits alimentaires (Espagne, Turquie)</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Analyse et renégociation des contrats cadres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Gestion de projet achat logistique pour les rétrofits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Claim Management</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Gestion des appels d'offres upgrades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Projet A220: analyse des contrats, recherche de communalités In Service Issues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Management fonctionnel de deux assistants achats</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09" w:right="748" w:gutter="0" w:header="283" w:top="851" w:footer="214" w:bottom="1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Open Sauce Sans Light">
    <w:charset w:val="01"/>
    <w:family w:val="roman"/>
    <w:pitch w:val="variable"/>
  </w:font>
  <w:font w:name="Callibri">
    <w:charset w:val="01"/>
    <w:family w:val="roman"/>
    <w:pitch w:val="variable"/>
  </w:font>
  <w:font w:name="Clibri">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left" w:pos="7905" w:leader="none"/>
      </w:tabs>
      <w:jc w:val="center"/>
      <w:rPr>
        <w:rFonts w:ascii="Open Sauce Sans Light" w:hAnsi="Open Sauce Sans Light" w:cs="Arial"/>
        <w:bCs/>
        <w:color w:val="002060"/>
        <w:sz w:val="18"/>
        <w:szCs w:val="18"/>
      </w:rPr>
    </w:pPr>
    <w:r>
      <w:rPr>
        <w:rFonts w:cs="Arial" w:ascii="Open Sauce Sans Light" w:hAnsi="Open Sauce Sans Light"/>
        <w:bCs/>
        <w:color w:val="002060"/>
        <w:sz w:val="18"/>
        <w:szCs w:val="18"/>
      </w:rPr>
      <w:t>NAVA ENGINEERING • 9-11 AVENUE MICHELET, 93400 SAINT-OUEN-SUR-SEINE</w:t>
    </w:r>
  </w:p>
  <w:p>
    <w:pPr>
      <w:pStyle w:val="Footer"/>
      <w:jc w:val="center"/>
      <w:rPr>
        <w:rFonts w:ascii="Open Sauce Sans Light" w:hAnsi="Open Sauce Sans Light" w:cs="Arial"/>
        <w:bCs/>
        <w:color w:val="002060"/>
        <w:sz w:val="16"/>
        <w:szCs w:val="16"/>
        <w:lang w:val="it-IT"/>
      </w:rPr>
    </w:pPr>
    <w:r>
      <w:rPr>
        <w:rFonts w:cs="Arial" w:ascii="Open Sauce Sans Light" w:hAnsi="Open Sauce Sans Light"/>
        <w:bCs/>
        <w:color w:val="002060"/>
        <w:sz w:val="16"/>
        <w:szCs w:val="16"/>
        <w:lang w:val="it-IT"/>
      </w:rPr>
      <w:t xml:space="preserve">Simon ZANA • 06 13 53 23 81 • </w:t>
    </w:r>
    <w:r>
      <mc:AlternateContent>
        <mc:Choice Requires="wps">
          <w:drawing>
            <wp:anchor behindDoc="1" distT="1270" distB="0" distL="1270" distR="0" simplePos="0" locked="0" layoutInCell="0" allowOverlap="1" relativeHeight="13" wp14:anchorId="792A83A9">
              <wp:simplePos x="0" y="0"/>
              <wp:positionH relativeFrom="page">
                <wp:posOffset>3596640</wp:posOffset>
              </wp:positionH>
              <wp:positionV relativeFrom="page">
                <wp:posOffset>9914255</wp:posOffset>
              </wp:positionV>
              <wp:extent cx="363855" cy="320675"/>
              <wp:effectExtent l="1270" t="1270" r="0" b="0"/>
              <wp:wrapNone/>
              <wp:docPr id="9" name="Organigramme : Alternative 1"/>
              <a:graphic xmlns:a="http://schemas.openxmlformats.org/drawingml/2006/main">
                <a:graphicData uri="http://schemas.microsoft.com/office/word/2010/wordprocessingShape">
                  <wps:wsp>
                    <wps:cNvSpPr/>
                    <wps:spPr>
                      <a:xfrm>
                        <a:off x="0" y="0"/>
                        <a:ext cx="363960" cy="320760"/>
                      </a:xfrm>
                      <a:prstGeom prst="flowChartAlternateProcess">
                        <a:avLst/>
                      </a:prstGeom>
                      <a:solidFill>
                        <a:srgbClr val="02466d"/>
                      </a:solidFill>
                      <a:ln w="0">
                        <a:noFill/>
                      </a:ln>
                    </wps:spPr>
                    <wps:style>
                      <a:lnRef idx="0"/>
                      <a:fillRef idx="0"/>
                      <a:effectRef idx="0"/>
                      <a:fontRef idx="minor"/>
                    </wps:style>
                    <wps:txbx>
                      <w:txbxContent>
                        <w:p>
                          <w:pPr>
                            <w:pStyle w:val="Contenudecadre"/>
                            <w:jc w:val="center"/>
                            <w:rPr>
                              <w:color w:val="FFFFFF"/>
                              <w:sz w:val="28"/>
                              <w:szCs w:val="28"/>
                            </w:rPr>
                          </w:pPr>
                          <w:hyperlink r:id="rId1">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wps:txbx>
                    <wps:bodyPr anchor="b" upright="1">
                      <a:noAutofit/>
                    </wps:bodyPr>
                  </wps:wsp>
                </a:graphicData>
              </a:graphic>
            </wp:anchor>
          </w:drawing>
        </mc:Choice>
        <mc:Fallback>
          <w:pict>
            <v:shapetype id="_x0000_t176" coordsize="21600,21600" o:spt="176" path="m,3600qy@5@6l@0,qx@7@5l21600@1qy@8@9l3600,21600qx@6@8xe">
              <v:stroke joinstyle="miter"/>
              <v:formulas>
                <v:f eqn="sum width 0 3600"/>
                <v:f eqn="sum height 0 3600"/>
                <v:f eqn="prod 3600 2929 10000"/>
                <v:f eqn="sum width 0 @2"/>
                <v:f eqn="sum height 0 @2"/>
                <v:f eqn="sum 3600 0 0"/>
                <v:f eqn="sum 0 3600 3600"/>
                <v:f eqn="sum 3600 @0 0"/>
                <v:f eqn="sum 0 21600 3600"/>
                <v:f eqn="sum 3600 @1 0"/>
              </v:formulas>
              <v:path gradientshapeok="t" o:connecttype="rect" textboxrect="@2,@2,@3,@4"/>
            </v:shapetype>
            <v:shape id="shape_0" ID="Organigramme : Alternative 1" path="l-2147483647,-2147483647l-2147483636,-2147483635l-2147483646,0l-2147483647,-2147483647l-2147483634,-2147483633l-2147483637,-2147483645l-2147483647,-2147483647xe" fillcolor="#02466d" stroked="f" o:allowincell="f" style="position:absolute;margin-left:283.2pt;margin-top:780.65pt;width:28.6pt;height:25.2pt;mso-wrap-style:square;v-text-anchor:bottom;mso-position-horizontal-relative:page;mso-position-vertical-relative:page" wp14:anchorId="792A83A9" type="_x0000_t176">
              <v:fill o:detectmouseclick="t" type="solid" color2="#fdb992"/>
              <v:stroke color="#3465a4" joinstyle="round" endcap="flat"/>
              <v:textbox>
                <w:txbxContent>
                  <w:p>
                    <w:pPr>
                      <w:pStyle w:val="Contenudecadre"/>
                      <w:jc w:val="center"/>
                      <w:rPr>
                        <w:color w:val="FFFFFF"/>
                        <w:sz w:val="28"/>
                        <w:szCs w:val="28"/>
                      </w:rPr>
                    </w:pPr>
                    <w:hyperlink r:id="rId2">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v:textbox>
              <w10:wrap type="none"/>
            </v:shape>
          </w:pict>
        </mc:Fallback>
      </mc:AlternateContent>
    </w:r>
    <w:r>
      <w:rPr>
        <w:rStyle w:val="Hyperlink"/>
        <w:rFonts w:eastAsia="" w:cs="Arial" w:ascii="Open Sauce Sans Light" w:hAnsi="Open Sauce Sans Light" w:eastAsiaTheme="majorEastAsia"/>
        <w:bCs/>
        <w:color w:val="002060"/>
        <w:sz w:val="16"/>
        <w:szCs w:val="16"/>
        <w:lang w:val="it-IT"/>
      </w:rPr>
      <w:t>simon.zana@nava-eng.com</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left" w:pos="7905" w:leader="none"/>
      </w:tabs>
      <w:jc w:val="center"/>
      <w:rPr>
        <w:rFonts w:ascii="Open Sauce Sans Light" w:hAnsi="Open Sauce Sans Light" w:cs="Arial"/>
        <w:bCs/>
        <w:color w:val="002060"/>
        <w:sz w:val="18"/>
        <w:szCs w:val="18"/>
      </w:rPr>
    </w:pPr>
    <w:r>
      <w:rPr>
        <w:rFonts w:cs="Arial" w:ascii="Open Sauce Sans Light" w:hAnsi="Open Sauce Sans Light"/>
        <w:bCs/>
        <w:color w:val="002060"/>
        <w:sz w:val="18"/>
        <w:szCs w:val="18"/>
      </w:rPr>
      <w:t>NAVA ENGINEERING • 9-11 AVENUE MICHELET, 93400 SAINT-OUEN-SUR-SEINE</w:t>
    </w:r>
  </w:p>
  <w:p>
    <w:pPr>
      <w:pStyle w:val="Footer"/>
      <w:jc w:val="center"/>
      <w:rPr>
        <w:rFonts w:ascii="Open Sauce Sans Light" w:hAnsi="Open Sauce Sans Light" w:cs="Arial"/>
        <w:bCs/>
        <w:color w:val="002060"/>
        <w:sz w:val="16"/>
        <w:szCs w:val="16"/>
        <w:lang w:val="it-IT"/>
      </w:rPr>
    </w:pPr>
    <w:r>
      <w:rPr>
        <w:rFonts w:cs="Arial" w:ascii="Open Sauce Sans Light" w:hAnsi="Open Sauce Sans Light"/>
        <w:bCs/>
        <w:color w:val="002060"/>
        <w:sz w:val="16"/>
        <w:szCs w:val="16"/>
        <w:lang w:val="it-IT"/>
      </w:rPr>
      <w:t xml:space="preserve">Simon ZANA • 06 13 53 23 81 • </w:t>
    </w:r>
    <w:r>
      <mc:AlternateContent>
        <mc:Choice Requires="wps">
          <w:drawing>
            <wp:anchor behindDoc="1" distT="1270" distB="0" distL="1270" distR="0" simplePos="0" locked="0" layoutInCell="0" allowOverlap="1" relativeHeight="13" wp14:anchorId="792A83A9">
              <wp:simplePos x="0" y="0"/>
              <wp:positionH relativeFrom="page">
                <wp:posOffset>3596640</wp:posOffset>
              </wp:positionH>
              <wp:positionV relativeFrom="page">
                <wp:posOffset>9914255</wp:posOffset>
              </wp:positionV>
              <wp:extent cx="363855" cy="320675"/>
              <wp:effectExtent l="1270" t="1270" r="0" b="0"/>
              <wp:wrapNone/>
              <wp:docPr id="10" name="Organigramme : Alternative 1"/>
              <a:graphic xmlns:a="http://schemas.openxmlformats.org/drawingml/2006/main">
                <a:graphicData uri="http://schemas.microsoft.com/office/word/2010/wordprocessingShape">
                  <wps:wsp>
                    <wps:cNvSpPr/>
                    <wps:spPr>
                      <a:xfrm>
                        <a:off x="0" y="0"/>
                        <a:ext cx="363960" cy="320760"/>
                      </a:xfrm>
                      <a:prstGeom prst="flowChartAlternateProcess">
                        <a:avLst/>
                      </a:prstGeom>
                      <a:solidFill>
                        <a:srgbClr val="02466d"/>
                      </a:solidFill>
                      <a:ln w="0">
                        <a:noFill/>
                      </a:ln>
                    </wps:spPr>
                    <wps:style>
                      <a:lnRef idx="0"/>
                      <a:fillRef idx="0"/>
                      <a:effectRef idx="0"/>
                      <a:fontRef idx="minor"/>
                    </wps:style>
                    <wps:txbx>
                      <w:txbxContent>
                        <w:p>
                          <w:pPr>
                            <w:pStyle w:val="Contenudecadre"/>
                            <w:jc w:val="center"/>
                            <w:rPr>
                              <w:color w:val="FFFFFF"/>
                              <w:sz w:val="28"/>
                              <w:szCs w:val="28"/>
                            </w:rPr>
                          </w:pPr>
                          <w:hyperlink r:id="rId1">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wps:txbx>
                    <wps:bodyPr anchor="b" upright="1">
                      <a:noAutofit/>
                    </wps:bodyPr>
                  </wps:wsp>
                </a:graphicData>
              </a:graphic>
            </wp:anchor>
          </w:drawing>
        </mc:Choice>
        <mc:Fallback>
          <w:pict>
            <v:shape id="shape_0" ID="Organigramme : Alternative 1" path="l-2147483647,-2147483647l-2147483636,-2147483635l-2147483646,0l-2147483647,-2147483647l-2147483634,-2147483633l-2147483637,-2147483645l-2147483647,-2147483647xe" fillcolor="#02466d" stroked="f" o:allowincell="f" style="position:absolute;margin-left:283.2pt;margin-top:780.65pt;width:28.6pt;height:25.2pt;mso-wrap-style:square;v-text-anchor:bottom;mso-position-horizontal-relative:page;mso-position-vertical-relative:page" wp14:anchorId="792A83A9" type="_x0000_t176">
              <v:fill o:detectmouseclick="t" type="solid" color2="#fdb992"/>
              <v:stroke color="#3465a4" joinstyle="round" endcap="flat"/>
              <v:textbox>
                <w:txbxContent>
                  <w:p>
                    <w:pPr>
                      <w:pStyle w:val="Contenudecadre"/>
                      <w:jc w:val="center"/>
                      <w:rPr>
                        <w:color w:val="FFFFFF"/>
                        <w:sz w:val="28"/>
                        <w:szCs w:val="28"/>
                      </w:rPr>
                    </w:pPr>
                    <w:hyperlink r:id="rId2">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v:textbox>
              <w10:wrap type="none"/>
            </v:shape>
          </w:pict>
        </mc:Fallback>
      </mc:AlternateContent>
    </w:r>
    <w:r>
      <w:rPr>
        <w:rStyle w:val="Hyperlink"/>
        <w:rFonts w:eastAsia="" w:cs="Arial" w:ascii="Open Sauce Sans Light" w:hAnsi="Open Sauce Sans Light" w:eastAsiaTheme="majorEastAsia"/>
        <w:bCs/>
        <w:color w:val="002060"/>
        <w:sz w:val="16"/>
        <w:szCs w:val="16"/>
        <w:lang w:val="it-IT"/>
      </w:rPr>
      <w:t>simon.zana@nava-eng.com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color w:val="002060"/>
        <w:sz w:val="34"/>
        <w:szCs w:val="34"/>
      </w:rPr>
    </w:pPr>
    <w:r>
      <w:drawing>
        <wp:anchor behindDoc="1" distT="0" distB="0" distL="0" distR="0" simplePos="0" locked="0" layoutInCell="0" allowOverlap="1" relativeHeight="15">
          <wp:simplePos x="0" y="0"/>
          <wp:positionH relativeFrom="column">
            <wp:posOffset>192405</wp:posOffset>
          </wp:positionH>
          <wp:positionV relativeFrom="paragraph">
            <wp:posOffset>-24130</wp:posOffset>
          </wp:positionV>
          <wp:extent cx="1019810" cy="1032510"/>
          <wp:effectExtent l="0" t="0" r="0" b="0"/>
          <wp:wrapSquare wrapText="largest"/>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1"/>
                  <a:srcRect l="6716" t="6596" r="7558" b="6596"/>
                  <a:stretch>
                    <a:fillRect/>
                  </a:stretch>
                </pic:blipFill>
                <pic:spPr bwMode="auto">
                  <a:xfrm>
                    <a:off x="0" y="0"/>
                    <a:ext cx="1019810" cy="1032510"/>
                  </a:xfrm>
                  <a:prstGeom prst="rect">
                    <a:avLst/>
                  </a:prstGeom>
                </pic:spPr>
              </pic:pic>
            </a:graphicData>
          </a:graphic>
        </wp:anchor>
      </w:drawing>
    </w:r>
    <w:r>
      <w:rPr>
        <w:color w:val="002060"/>
        <w:sz w:val="34"/>
        <w:szCs w:val="34"/>
      </w:rPr>
      <w:t xml:space="preserve">CPE</w:t>
    </w:r>
  </w:p>
  <w:p>
    <w:pPr>
      <w:pStyle w:val="Normal"/>
      <w:jc w:val="right"/>
      <w:rPr>
        <w:b/>
        <w:bCs/>
        <w:color w:val="002060"/>
        <w:sz w:val="40"/>
        <w:szCs w:val="40"/>
      </w:rPr>
    </w:pPr>
    <w:r>
      <w:rPr>
        <w:b/>
        <w:bCs/>
        <w:color w:val="002060"/>
        <w:sz w:val="40"/>
        <w:szCs w:val="40"/>
      </w:rPr>
      <w:t xml:space="preserve">Acheteur industriel senior</w:t>
    </w:r>
  </w:p>
  <w:p>
    <w:pPr>
      <w:pStyle w:val="Normal"/>
      <w:jc w:val="right"/>
      <w:rPr>
        <w:color w:val="002060"/>
        <w:sz w:val="34"/>
        <w:szCs w:val="34"/>
      </w:rPr>
    </w:pPr>
    <w:r>
      <w:rPr>
        <w:color w:val="002060"/>
        <w:sz w:val="34"/>
        <w:szCs w:val="34"/>
      </w:rPr>
      <w:t xml:space="preserve">8 ans d'expériences</w:t>
    </w:r>
  </w:p>
  <w:p>
    <w:pPr>
      <w:pStyle w:val="Normal"/>
      <w:jc w:val="right"/>
      <w:rPr>
        <w:color w:val="002060"/>
        <w:sz w:val="34"/>
        <w:szCs w:val="34"/>
      </w:rPr>
    </w:pPr>
    <w:r>
      <w:rPr>
        <w:color w:val="002060"/>
        <w:sz w:val="34"/>
        <w:szCs w:val="3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color w:val="002060"/>
        <w:sz w:val="34"/>
        <w:szCs w:val="34"/>
      </w:rPr>
    </w:pPr>
    <w:r>
      <w:drawing>
        <wp:anchor behindDoc="1" distT="0" distB="0" distL="0" distR="0" simplePos="0" locked="0" layoutInCell="0" allowOverlap="1" relativeHeight="15">
          <wp:simplePos x="0" y="0"/>
          <wp:positionH relativeFrom="column">
            <wp:posOffset>192405</wp:posOffset>
          </wp:positionH>
          <wp:positionV relativeFrom="paragraph">
            <wp:posOffset>-24130</wp:posOffset>
          </wp:positionV>
          <wp:extent cx="1019810" cy="1032510"/>
          <wp:effectExtent l="0" t="0" r="0" b="0"/>
          <wp:wrapSquare wrapText="largest"/>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1"/>
                  <a:srcRect l="6716" t="6596" r="7558" b="6596"/>
                  <a:stretch>
                    <a:fillRect/>
                  </a:stretch>
                </pic:blipFill>
                <pic:spPr bwMode="auto">
                  <a:xfrm>
                    <a:off x="0" y="0"/>
                    <a:ext cx="1019810" cy="1032510"/>
                  </a:xfrm>
                  <a:prstGeom prst="rect">
                    <a:avLst/>
                  </a:prstGeom>
                </pic:spPr>
              </pic:pic>
            </a:graphicData>
          </a:graphic>
        </wp:anchor>
      </w:drawing>
    </w:r>
    <w:r>
      <w:rPr>
        <w:color w:val="002060"/>
        <w:sz w:val="34"/>
        <w:szCs w:val="34"/>
      </w:rPr>
      <w:t xml:space="preserve">CPE</w:t>
    </w:r>
  </w:p>
  <w:p>
    <w:pPr>
      <w:pStyle w:val="Normal"/>
      <w:jc w:val="right"/>
      <w:rPr>
        <w:b/>
        <w:bCs/>
        <w:color w:val="002060"/>
        <w:sz w:val="40"/>
        <w:szCs w:val="40"/>
      </w:rPr>
    </w:pPr>
    <w:r>
      <w:rPr>
        <w:b/>
        <w:bCs/>
        <w:color w:val="002060"/>
        <w:sz w:val="40"/>
        <w:szCs w:val="40"/>
      </w:rPr>
      <w:t xml:space="preserve">Acheteur industriel senior</w:t>
    </w:r>
  </w:p>
  <w:p>
    <w:pPr>
      <w:pStyle w:val="Normal"/>
      <w:jc w:val="right"/>
      <w:rPr>
        <w:color w:val="002060"/>
        <w:sz w:val="34"/>
        <w:szCs w:val="34"/>
      </w:rPr>
    </w:pPr>
    <w:r>
      <w:rPr>
        <w:color w:val="002060"/>
        <w:sz w:val="34"/>
        <w:szCs w:val="34"/>
      </w:rPr>
      <w:t xml:space="preserve">8 ans d'expériences</w:t>
    </w:r>
  </w:p>
  <w:p>
    <w:pPr>
      <w:pStyle w:val="Normal"/>
      <w:jc w:val="right"/>
      <w:rPr>
        <w:color w:val="002060"/>
        <w:sz w:val="34"/>
        <w:szCs w:val="34"/>
      </w:rPr>
    </w:pPr>
    <w:r>
      <w:rPr>
        <w:color w:val="002060"/>
        <w:sz w:val="34"/>
        <w:szCs w:val="3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068" w:hanging="360"/>
      </w:pPr>
      <w:rPr>
        <w:rFonts w:ascii="Wingdings" w:hAnsi="Wingdings" w:cs="Wingdings"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Wingdings" w:hAnsi="Wingdings" w:cs="Wingdings" w:hint="default"/>
        <w:sz w:val="22"/>
        <w:szCs w:val="22"/>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Wingdings" w:hAnsi="Wingdings" w:cs="Wingdings" w:hint="default"/>
        <w:sz w:val="22"/>
        <w:szCs w:val="22"/>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Wingdings" w:hAnsi="Wingdings" w:cs="Wingdings" w:hint="default"/>
        <w:sz w:val="22"/>
        <w:szCs w:val="22"/>
      </w:rPr>
    </w:lvl>
    <w:lvl w:ilvl="1">
      <w:start w:val="1"/>
      <w:numFmt w:val="bullet"/>
      <w:lvlText w:val="◦"/>
      <w:lvlJc w:val="left"/>
      <w:pPr>
        <w:tabs>
          <w:tab w:val="num" w:pos="1080"/>
        </w:tabs>
        <w:ind w:left="1080" w:hanging="360"/>
      </w:pPr>
      <w:rPr>
        <w:rFonts w:ascii="OpenSymbol" w:hAnsi="OpenSymbol" w:cs="OpenSymbol" w:hint="default"/>
        <w:sz w:val="22"/>
        <w:szCs w:val="22"/>
      </w:rPr>
    </w:lvl>
    <w:lvl w:ilvl="2">
      <w:start w:val="1"/>
      <w:numFmt w:val="bullet"/>
      <w:lvlText w:val="▪"/>
      <w:lvlJc w:val="left"/>
      <w:pPr>
        <w:tabs>
          <w:tab w:val="num" w:pos="1440"/>
        </w:tabs>
        <w:ind w:left="1440" w:hanging="360"/>
      </w:pPr>
      <w:rPr>
        <w:rFonts w:ascii="OpenSymbol" w:hAnsi="OpenSymbol" w:cs="OpenSymbol" w:hint="default"/>
        <w:sz w:val="22"/>
        <w:szCs w:val="22"/>
      </w:rPr>
    </w:lvl>
    <w:lvl w:ilvl="3">
      <w:start w:val="1"/>
      <w:numFmt w:val="bullet"/>
      <w:lvlText w:val=""/>
      <w:lvlJc w:val="left"/>
      <w:pPr>
        <w:tabs>
          <w:tab w:val="num" w:pos="1800"/>
        </w:tabs>
        <w:ind w:left="1800" w:hanging="360"/>
      </w:pPr>
      <w:rPr>
        <w:rFonts w:ascii="Symbol" w:hAnsi="Symbol" w:cs="Symbol" w:hint="default"/>
        <w:sz w:val="22"/>
        <w:szCs w:val="22"/>
      </w:rPr>
    </w:lvl>
    <w:lvl w:ilvl="4">
      <w:start w:val="1"/>
      <w:numFmt w:val="bullet"/>
      <w:lvlText w:val="◦"/>
      <w:lvlJc w:val="left"/>
      <w:pPr>
        <w:tabs>
          <w:tab w:val="num" w:pos="2160"/>
        </w:tabs>
        <w:ind w:left="2160" w:hanging="360"/>
      </w:pPr>
      <w:rPr>
        <w:rFonts w:ascii="OpenSymbol" w:hAnsi="OpenSymbol" w:cs="OpenSymbol" w:hint="default"/>
        <w:sz w:val="22"/>
        <w:szCs w:val="22"/>
      </w:rPr>
    </w:lvl>
    <w:lvl w:ilvl="5">
      <w:start w:val="1"/>
      <w:numFmt w:val="bullet"/>
      <w:lvlText w:val="▪"/>
      <w:lvlJc w:val="left"/>
      <w:pPr>
        <w:tabs>
          <w:tab w:val="num" w:pos="2520"/>
        </w:tabs>
        <w:ind w:left="2520" w:hanging="360"/>
      </w:pPr>
      <w:rPr>
        <w:rFonts w:ascii="OpenSymbol" w:hAnsi="OpenSymbol" w:cs="OpenSymbol" w:hint="default"/>
        <w:sz w:val="22"/>
        <w:szCs w:val="22"/>
      </w:rPr>
    </w:lvl>
    <w:lvl w:ilvl="6">
      <w:start w:val="1"/>
      <w:numFmt w:val="bullet"/>
      <w:lvlText w:val=""/>
      <w:lvlJc w:val="left"/>
      <w:pPr>
        <w:tabs>
          <w:tab w:val="num" w:pos="2880"/>
        </w:tabs>
        <w:ind w:left="2880" w:hanging="360"/>
      </w:pPr>
      <w:rPr>
        <w:rFonts w:ascii="Symbol" w:hAnsi="Symbol" w:cs="Symbol" w:hint="default"/>
        <w:sz w:val="22"/>
        <w:szCs w:val="22"/>
      </w:rPr>
    </w:lvl>
    <w:lvl w:ilvl="7">
      <w:start w:val="1"/>
      <w:numFmt w:val="bullet"/>
      <w:lvlText w:val="◦"/>
      <w:lvlJc w:val="left"/>
      <w:pPr>
        <w:tabs>
          <w:tab w:val="num" w:pos="3240"/>
        </w:tabs>
        <w:ind w:left="3240" w:hanging="360"/>
      </w:pPr>
      <w:rPr>
        <w:rFonts w:ascii="OpenSymbol" w:hAnsi="OpenSymbol" w:cs="OpenSymbol" w:hint="default"/>
        <w:sz w:val="22"/>
        <w:szCs w:val="22"/>
      </w:rPr>
    </w:lvl>
    <w:lvl w:ilvl="8">
      <w:start w:val="1"/>
      <w:numFmt w:val="bullet"/>
      <w:lvlText w:val="▪"/>
      <w:lvlJc w:val="left"/>
      <w:pPr>
        <w:tabs>
          <w:tab w:val="num" w:pos="3600"/>
        </w:tabs>
        <w:ind w:left="3600" w:hanging="360"/>
      </w:pPr>
      <w:rPr>
        <w:rFonts w:ascii="OpenSymbol" w:hAnsi="OpenSymbol" w:cs="OpenSymbol" w:hint="default"/>
        <w:sz w:val="22"/>
        <w:szCs w:val="22"/>
      </w:rPr>
    </w:lvl>
  </w:abstractNum>
  <w:abstractNum w:abstractNumId="5">
    <w:lvl w:ilvl="0">
      <w:start w:val="1"/>
      <w:numFmt w:val="bullet"/>
      <w:lvlText w:val=""/>
      <w:lvlJc w:val="left"/>
      <w:pPr>
        <w:tabs>
          <w:tab w:val="num" w:pos="720"/>
        </w:tabs>
        <w:ind w:left="720" w:hanging="360"/>
      </w:pPr>
      <w:rPr>
        <w:rFonts w:ascii="Symbol" w:hAnsi="Symbol" w:cs="Symbol" w:hint="default"/>
        <w:sz w:val="22"/>
        <w:szCs w:val="22"/>
      </w:rPr>
    </w:lvl>
    <w:lvl w:ilvl="1">
      <w:start w:val="1"/>
      <w:numFmt w:val="bullet"/>
      <w:lvlText w:val="◦"/>
      <w:lvlJc w:val="left"/>
      <w:pPr>
        <w:tabs>
          <w:tab w:val="num" w:pos="1080"/>
        </w:tabs>
        <w:ind w:left="1080" w:hanging="360"/>
      </w:pPr>
      <w:rPr>
        <w:rFonts w:ascii="OpenSymbol" w:hAnsi="OpenSymbol" w:cs="OpenSymbol" w:hint="default"/>
        <w:sz w:val="22"/>
        <w:szCs w:val="22"/>
      </w:rPr>
    </w:lvl>
    <w:lvl w:ilvl="2">
      <w:start w:val="1"/>
      <w:numFmt w:val="bullet"/>
      <w:lvlText w:val="▪"/>
      <w:lvlJc w:val="left"/>
      <w:pPr>
        <w:tabs>
          <w:tab w:val="num" w:pos="1440"/>
        </w:tabs>
        <w:ind w:left="1440" w:hanging="360"/>
      </w:pPr>
      <w:rPr>
        <w:rFonts w:ascii="OpenSymbol" w:hAnsi="OpenSymbol" w:cs="OpenSymbol" w:hint="default"/>
        <w:sz w:val="22"/>
        <w:szCs w:val="22"/>
      </w:rPr>
    </w:lvl>
    <w:lvl w:ilvl="3">
      <w:start w:val="1"/>
      <w:numFmt w:val="bullet"/>
      <w:lvlText w:val=""/>
      <w:lvlJc w:val="left"/>
      <w:pPr>
        <w:tabs>
          <w:tab w:val="num" w:pos="1800"/>
        </w:tabs>
        <w:ind w:left="1800" w:hanging="360"/>
      </w:pPr>
      <w:rPr>
        <w:rFonts w:ascii="Symbol" w:hAnsi="Symbol" w:cs="Symbol" w:hint="default"/>
        <w:sz w:val="22"/>
        <w:szCs w:val="22"/>
      </w:rPr>
    </w:lvl>
    <w:lvl w:ilvl="4">
      <w:start w:val="1"/>
      <w:numFmt w:val="bullet"/>
      <w:lvlText w:val="◦"/>
      <w:lvlJc w:val="left"/>
      <w:pPr>
        <w:tabs>
          <w:tab w:val="num" w:pos="2160"/>
        </w:tabs>
        <w:ind w:left="2160" w:hanging="360"/>
      </w:pPr>
      <w:rPr>
        <w:rFonts w:ascii="OpenSymbol" w:hAnsi="OpenSymbol" w:cs="OpenSymbol" w:hint="default"/>
        <w:sz w:val="22"/>
        <w:szCs w:val="22"/>
      </w:rPr>
    </w:lvl>
    <w:lvl w:ilvl="5">
      <w:start w:val="1"/>
      <w:numFmt w:val="bullet"/>
      <w:lvlText w:val="▪"/>
      <w:lvlJc w:val="left"/>
      <w:pPr>
        <w:tabs>
          <w:tab w:val="num" w:pos="2520"/>
        </w:tabs>
        <w:ind w:left="2520" w:hanging="360"/>
      </w:pPr>
      <w:rPr>
        <w:rFonts w:ascii="OpenSymbol" w:hAnsi="OpenSymbol" w:cs="OpenSymbol" w:hint="default"/>
        <w:sz w:val="22"/>
        <w:szCs w:val="22"/>
      </w:rPr>
    </w:lvl>
    <w:lvl w:ilvl="6">
      <w:start w:val="1"/>
      <w:numFmt w:val="bullet"/>
      <w:lvlText w:val=""/>
      <w:lvlJc w:val="left"/>
      <w:pPr>
        <w:tabs>
          <w:tab w:val="num" w:pos="2880"/>
        </w:tabs>
        <w:ind w:left="2880" w:hanging="360"/>
      </w:pPr>
      <w:rPr>
        <w:rFonts w:ascii="Symbol" w:hAnsi="Symbol" w:cs="Symbol" w:hint="default"/>
        <w:sz w:val="22"/>
        <w:szCs w:val="22"/>
      </w:rPr>
    </w:lvl>
    <w:lvl w:ilvl="7">
      <w:start w:val="1"/>
      <w:numFmt w:val="bullet"/>
      <w:lvlText w:val="◦"/>
      <w:lvlJc w:val="left"/>
      <w:pPr>
        <w:tabs>
          <w:tab w:val="num" w:pos="3240"/>
        </w:tabs>
        <w:ind w:left="3240" w:hanging="360"/>
      </w:pPr>
      <w:rPr>
        <w:rFonts w:ascii="OpenSymbol" w:hAnsi="OpenSymbol" w:cs="OpenSymbol" w:hint="default"/>
        <w:sz w:val="22"/>
        <w:szCs w:val="22"/>
      </w:rPr>
    </w:lvl>
    <w:lvl w:ilvl="8">
      <w:start w:val="1"/>
      <w:numFmt w:val="bullet"/>
      <w:lvlText w:val="▪"/>
      <w:lvlJc w:val="left"/>
      <w:pPr>
        <w:tabs>
          <w:tab w:val="num" w:pos="3600"/>
        </w:tabs>
        <w:ind w:left="3600" w:hanging="360"/>
      </w:pPr>
      <w:rPr>
        <w:rFonts w:ascii="OpenSymbol" w:hAnsi="OpenSymbol" w:cs="OpenSymbol" w:hint="default"/>
        <w:sz w:val="22"/>
        <w:szCs w:val="22"/>
      </w:rPr>
    </w:lvl>
  </w:abstractNum>
  <w:abstractNum w:abstractNumId="6">
    <w:lvl w:ilvl="0">
      <w:start w:val="1"/>
      <w:numFmt w:val="bullet"/>
      <w:lvlText w:val=""/>
      <w:lvlJc w:val="left"/>
      <w:pPr>
        <w:tabs>
          <w:tab w:val="num" w:pos="720"/>
        </w:tabs>
        <w:ind w:left="720" w:hanging="360"/>
      </w:pPr>
      <w:rPr>
        <w:rFonts w:ascii="Wingdings" w:hAnsi="Wingdings" w:cs="Wingdings" w:hint="default"/>
        <w:sz w:val="22"/>
        <w:szCs w:val="22"/>
      </w:rPr>
    </w:lvl>
    <w:lvl w:ilvl="1">
      <w:start w:val="1"/>
      <w:numFmt w:val="bullet"/>
      <w:lvlText w:val=""/>
      <w:lvlJc w:val="left"/>
      <w:pPr>
        <w:tabs>
          <w:tab w:val="num" w:pos="1080"/>
        </w:tabs>
        <w:ind w:left="1080" w:hanging="360"/>
      </w:pPr>
      <w:rPr>
        <w:rFonts w:ascii="Wingdings" w:hAnsi="Wingdings" w:cs="Wingdings" w:hint="default"/>
        <w:sz w:val="22"/>
        <w:szCs w:val="22"/>
      </w:rPr>
    </w:lvl>
    <w:lvl w:ilvl="2">
      <w:start w:val="1"/>
      <w:numFmt w:val="bullet"/>
      <w:lvlText w:val=""/>
      <w:lvlJc w:val="left"/>
      <w:pPr>
        <w:tabs>
          <w:tab w:val="num" w:pos="1440"/>
        </w:tabs>
        <w:ind w:left="1440" w:hanging="360"/>
      </w:pPr>
      <w:rPr>
        <w:rFonts w:ascii="Wingdings" w:hAnsi="Wingdings" w:cs="Wingdings" w:hint="default"/>
        <w:sz w:val="22"/>
        <w:szCs w:val="22"/>
      </w:rPr>
    </w:lvl>
    <w:lvl w:ilvl="3">
      <w:start w:val="1"/>
      <w:numFmt w:val="bullet"/>
      <w:lvlText w:val=""/>
      <w:lvlJc w:val="left"/>
      <w:pPr>
        <w:tabs>
          <w:tab w:val="num" w:pos="1800"/>
        </w:tabs>
        <w:ind w:left="1800" w:hanging="360"/>
      </w:pPr>
      <w:rPr>
        <w:rFonts w:ascii="Wingdings" w:hAnsi="Wingdings" w:cs="Wingdings" w:hint="default"/>
        <w:sz w:val="22"/>
        <w:szCs w:val="22"/>
      </w:rPr>
    </w:lvl>
    <w:lvl w:ilvl="4">
      <w:start w:val="1"/>
      <w:numFmt w:val="bullet"/>
      <w:lvlText w:val=""/>
      <w:lvlJc w:val="left"/>
      <w:pPr>
        <w:tabs>
          <w:tab w:val="num" w:pos="2160"/>
        </w:tabs>
        <w:ind w:left="2160" w:hanging="360"/>
      </w:pPr>
      <w:rPr>
        <w:rFonts w:ascii="Wingdings" w:hAnsi="Wingdings" w:cs="Wingdings" w:hint="default"/>
        <w:sz w:val="22"/>
        <w:szCs w:val="22"/>
      </w:rPr>
    </w:lvl>
    <w:lvl w:ilvl="5">
      <w:start w:val="1"/>
      <w:numFmt w:val="bullet"/>
      <w:lvlText w:val=""/>
      <w:lvlJc w:val="left"/>
      <w:pPr>
        <w:tabs>
          <w:tab w:val="num" w:pos="2520"/>
        </w:tabs>
        <w:ind w:left="2520" w:hanging="360"/>
      </w:pPr>
      <w:rPr>
        <w:rFonts w:ascii="Wingdings" w:hAnsi="Wingdings" w:cs="Wingdings" w:hint="default"/>
        <w:sz w:val="22"/>
        <w:szCs w:val="22"/>
      </w:rPr>
    </w:lvl>
    <w:lvl w:ilvl="6">
      <w:start w:val="1"/>
      <w:numFmt w:val="bullet"/>
      <w:lvlText w:val=""/>
      <w:lvlJc w:val="left"/>
      <w:pPr>
        <w:tabs>
          <w:tab w:val="num" w:pos="2880"/>
        </w:tabs>
        <w:ind w:left="2880" w:hanging="360"/>
      </w:pPr>
      <w:rPr>
        <w:rFonts w:ascii="Wingdings" w:hAnsi="Wingdings" w:cs="Wingdings" w:hint="default"/>
        <w:sz w:val="22"/>
        <w:szCs w:val="22"/>
      </w:rPr>
    </w:lvl>
    <w:lvl w:ilvl="7">
      <w:start w:val="1"/>
      <w:numFmt w:val="bullet"/>
      <w:lvlText w:val=""/>
      <w:lvlJc w:val="left"/>
      <w:pPr>
        <w:tabs>
          <w:tab w:val="num" w:pos="3240"/>
        </w:tabs>
        <w:ind w:left="3240" w:hanging="360"/>
      </w:pPr>
      <w:rPr>
        <w:rFonts w:ascii="Wingdings" w:hAnsi="Wingdings" w:cs="Wingdings" w:hint="default"/>
        <w:sz w:val="22"/>
        <w:szCs w:val="22"/>
      </w:rPr>
    </w:lvl>
    <w:lvl w:ilvl="8">
      <w:start w:val="1"/>
      <w:numFmt w:val="bullet"/>
      <w:lvlText w:val=""/>
      <w:lvlJc w:val="left"/>
      <w:pPr>
        <w:tabs>
          <w:tab w:val="num" w:pos="3600"/>
        </w:tabs>
        <w:ind w:left="3600" w:hanging="360"/>
      </w:pPr>
      <w:rPr>
        <w:rFonts w:ascii="Wingdings" w:hAnsi="Wingdings" w:cs="Wingdings" w:hint="default"/>
        <w:sz w:val="22"/>
        <w:szCs w:val="22"/>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5"/>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4571"/>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fr-FR" w:eastAsia="fr-FR" w:bidi="ar-SA"/>
    </w:rPr>
  </w:style>
  <w:style w:type="paragraph" w:styleId="Heading1">
    <w:name w:val="Heading 1"/>
    <w:basedOn w:val="Normal"/>
    <w:next w:val="Normal"/>
    <w:link w:val="Titre1Car"/>
    <w:uiPriority w:val="9"/>
    <w:qFormat/>
    <w:rsid w:val="00cf4571"/>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itre2Car"/>
    <w:uiPriority w:val="9"/>
    <w:semiHidden/>
    <w:unhideWhenUsed/>
    <w:qFormat/>
    <w:rsid w:val="00cf457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itre3Car"/>
    <w:uiPriority w:val="9"/>
    <w:semiHidden/>
    <w:unhideWhenUsed/>
    <w:qFormat/>
    <w:rsid w:val="00cf4571"/>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itre4Car"/>
    <w:uiPriority w:val="9"/>
    <w:semiHidden/>
    <w:unhideWhenUsed/>
    <w:qFormat/>
    <w:rsid w:val="00cf4571"/>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itre5Car"/>
    <w:uiPriority w:val="9"/>
    <w:semiHidden/>
    <w:unhideWhenUsed/>
    <w:qFormat/>
    <w:rsid w:val="00cf4571"/>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itre6Car"/>
    <w:uiPriority w:val="9"/>
    <w:semiHidden/>
    <w:unhideWhenUsed/>
    <w:qFormat/>
    <w:rsid w:val="00cf457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cf457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cf457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cf457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cf4571"/>
    <w:rPr>
      <w:rFonts w:ascii="Calibri Light" w:hAnsi="Calibri Light" w:eastAsia="" w:cs="" w:asciiTheme="majorHAnsi" w:cstheme="majorBidi" w:eastAsiaTheme="majorEastAsia" w:hAnsiTheme="majorHAnsi"/>
      <w:color w:themeColor="accent1" w:themeShade="bf" w:val="2F5496"/>
      <w:sz w:val="40"/>
      <w:szCs w:val="40"/>
    </w:rPr>
  </w:style>
  <w:style w:type="character" w:styleId="Titre2Car" w:customStyle="1">
    <w:name w:val="Titre 2 Car"/>
    <w:basedOn w:val="DefaultParagraphFont"/>
    <w:uiPriority w:val="9"/>
    <w:semiHidden/>
    <w:qFormat/>
    <w:rsid w:val="00cf4571"/>
    <w:rPr>
      <w:rFonts w:ascii="Calibri Light" w:hAnsi="Calibri Light" w:eastAsia="" w:cs="" w:asciiTheme="majorHAnsi" w:cstheme="majorBidi" w:eastAsiaTheme="majorEastAsia" w:hAnsiTheme="majorHAnsi"/>
      <w:color w:themeColor="accent1" w:themeShade="bf" w:val="2F5496"/>
      <w:sz w:val="32"/>
      <w:szCs w:val="32"/>
    </w:rPr>
  </w:style>
  <w:style w:type="character" w:styleId="Titre3Car" w:customStyle="1">
    <w:name w:val="Titre 3 Car"/>
    <w:basedOn w:val="DefaultParagraphFont"/>
    <w:uiPriority w:val="9"/>
    <w:semiHidden/>
    <w:qFormat/>
    <w:rsid w:val="00cf4571"/>
    <w:rPr>
      <w:rFonts w:eastAsia="" w:cs="" w:cstheme="majorBidi" w:eastAsiaTheme="majorEastAsia"/>
      <w:color w:themeColor="accent1" w:themeShade="bf" w:val="2F5496"/>
      <w:sz w:val="28"/>
      <w:szCs w:val="28"/>
    </w:rPr>
  </w:style>
  <w:style w:type="character" w:styleId="Titre4Car" w:customStyle="1">
    <w:name w:val="Titre 4 Car"/>
    <w:basedOn w:val="DefaultParagraphFont"/>
    <w:uiPriority w:val="9"/>
    <w:semiHidden/>
    <w:qFormat/>
    <w:rsid w:val="00cf4571"/>
    <w:rPr>
      <w:rFonts w:eastAsia="" w:cs="" w:cstheme="majorBidi" w:eastAsiaTheme="majorEastAsia"/>
      <w:i/>
      <w:iCs/>
      <w:color w:themeColor="accent1" w:themeShade="bf" w:val="2F5496"/>
    </w:rPr>
  </w:style>
  <w:style w:type="character" w:styleId="Titre5Car" w:customStyle="1">
    <w:name w:val="Titre 5 Car"/>
    <w:basedOn w:val="DefaultParagraphFont"/>
    <w:uiPriority w:val="9"/>
    <w:semiHidden/>
    <w:qFormat/>
    <w:rsid w:val="00cf4571"/>
    <w:rPr>
      <w:rFonts w:eastAsia="" w:cs="" w:cstheme="majorBidi" w:eastAsiaTheme="majorEastAsia"/>
      <w:color w:themeColor="accent1" w:themeShade="bf" w:val="2F5496"/>
    </w:rPr>
  </w:style>
  <w:style w:type="character" w:styleId="Titre6Car" w:customStyle="1">
    <w:name w:val="Titre 6 Car"/>
    <w:basedOn w:val="DefaultParagraphFont"/>
    <w:uiPriority w:val="9"/>
    <w:semiHidden/>
    <w:qFormat/>
    <w:rsid w:val="00cf4571"/>
    <w:rPr>
      <w:rFonts w:eastAsia="" w:cs="" w:cstheme="majorBidi" w:eastAsiaTheme="majorEastAsia"/>
      <w:i/>
      <w:iCs/>
      <w:color w:themeColor="text1" w:themeTint="a6" w:val="595959"/>
    </w:rPr>
  </w:style>
  <w:style w:type="character" w:styleId="Titre7Car" w:customStyle="1">
    <w:name w:val="Titre 7 Car"/>
    <w:basedOn w:val="DefaultParagraphFont"/>
    <w:uiPriority w:val="9"/>
    <w:semiHidden/>
    <w:qFormat/>
    <w:rsid w:val="00cf4571"/>
    <w:rPr>
      <w:rFonts w:eastAsia="" w:cs="" w:cstheme="majorBidi" w:eastAsiaTheme="majorEastAsia"/>
      <w:color w:themeColor="text1" w:themeTint="a6" w:val="595959"/>
    </w:rPr>
  </w:style>
  <w:style w:type="character" w:styleId="Titre8Car" w:customStyle="1">
    <w:name w:val="Titre 8 Car"/>
    <w:basedOn w:val="DefaultParagraphFont"/>
    <w:uiPriority w:val="9"/>
    <w:semiHidden/>
    <w:qFormat/>
    <w:rsid w:val="00cf4571"/>
    <w:rPr>
      <w:rFonts w:eastAsia="" w:cs="" w:cstheme="majorBidi" w:eastAsiaTheme="majorEastAsia"/>
      <w:i/>
      <w:iCs/>
      <w:color w:themeColor="text1" w:themeTint="d8" w:val="272727"/>
    </w:rPr>
  </w:style>
  <w:style w:type="character" w:styleId="Titre9Car" w:customStyle="1">
    <w:name w:val="Titre 9 Car"/>
    <w:basedOn w:val="DefaultParagraphFont"/>
    <w:uiPriority w:val="9"/>
    <w:semiHidden/>
    <w:qFormat/>
    <w:rsid w:val="00cf4571"/>
    <w:rPr>
      <w:rFonts w:eastAsia="" w:cs="" w:cstheme="majorBidi" w:eastAsiaTheme="majorEastAsia"/>
      <w:color w:themeColor="text1" w:themeTint="d8" w:val="272727"/>
    </w:rPr>
  </w:style>
  <w:style w:type="character" w:styleId="TitreCar" w:customStyle="1">
    <w:name w:val="Titre Car"/>
    <w:basedOn w:val="DefaultParagraphFont"/>
    <w:uiPriority w:val="10"/>
    <w:qFormat/>
    <w:rsid w:val="00cf4571"/>
    <w:rPr>
      <w:rFonts w:ascii="Calibri Light" w:hAnsi="Calibri Light"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cf4571"/>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cf4571"/>
    <w:rPr>
      <w:i/>
      <w:iCs/>
      <w:color w:themeColor="text1" w:themeTint="bf" w:val="404040"/>
    </w:rPr>
  </w:style>
  <w:style w:type="character" w:styleId="IntenseEmphasis">
    <w:name w:val="Intense Emphasis"/>
    <w:basedOn w:val="DefaultParagraphFont"/>
    <w:uiPriority w:val="21"/>
    <w:qFormat/>
    <w:rsid w:val="00cf4571"/>
    <w:rPr>
      <w:i/>
      <w:iCs/>
      <w:color w:themeColor="accent1" w:themeShade="bf" w:val="2F5496"/>
    </w:rPr>
  </w:style>
  <w:style w:type="character" w:styleId="CitationintenseCar" w:customStyle="1">
    <w:name w:val="Citation intense Car"/>
    <w:basedOn w:val="DefaultParagraphFont"/>
    <w:link w:val="IntenseQuote"/>
    <w:uiPriority w:val="30"/>
    <w:qFormat/>
    <w:rsid w:val="00cf4571"/>
    <w:rPr>
      <w:i/>
      <w:iCs/>
      <w:color w:themeColor="accent1" w:themeShade="bf" w:val="2F5496"/>
    </w:rPr>
  </w:style>
  <w:style w:type="character" w:styleId="IntenseReference">
    <w:name w:val="Intense Reference"/>
    <w:basedOn w:val="DefaultParagraphFont"/>
    <w:uiPriority w:val="32"/>
    <w:qFormat/>
    <w:rsid w:val="00cf4571"/>
    <w:rPr>
      <w:b/>
      <w:bCs/>
      <w:smallCaps/>
      <w:color w:themeColor="accent1" w:themeShade="bf" w:val="2F5496"/>
      <w:spacing w:val="5"/>
    </w:rPr>
  </w:style>
  <w:style w:type="character" w:styleId="PieddepageCar" w:customStyle="1">
    <w:name w:val="Pied de page Car"/>
    <w:basedOn w:val="DefaultParagraphFont"/>
    <w:uiPriority w:val="99"/>
    <w:qFormat/>
    <w:rsid w:val="00cf4571"/>
    <w:rPr>
      <w:rFonts w:ascii="Times New Roman" w:hAnsi="Times New Roman" w:eastAsia="Times New Roman" w:cs="Times New Roman"/>
      <w:sz w:val="24"/>
      <w:szCs w:val="24"/>
      <w:lang w:eastAsia="fr-FR"/>
    </w:rPr>
  </w:style>
  <w:style w:type="character" w:styleId="Hyperlink">
    <w:name w:val="Hyperlink"/>
    <w:uiPriority w:val="99"/>
    <w:rsid w:val="00cf4571"/>
    <w:rPr>
      <w:color w:val="0000FF"/>
      <w:u w:val="single"/>
    </w:rPr>
  </w:style>
  <w:style w:type="character" w:styleId="CorpsdetexteCar" w:customStyle="1">
    <w:name w:val="Corps de texte Car"/>
    <w:qFormat/>
    <w:rsid w:val="00cf4571"/>
    <w:rPr>
      <w:sz w:val="24"/>
      <w:szCs w:val="24"/>
    </w:rPr>
  </w:style>
  <w:style w:type="character" w:styleId="CorpsdetexteCar1" w:customStyle="1">
    <w:name w:val="Corps de texte Car1"/>
    <w:basedOn w:val="DefaultParagraphFont"/>
    <w:uiPriority w:val="99"/>
    <w:semiHidden/>
    <w:qFormat/>
    <w:rsid w:val="00cf4571"/>
    <w:rPr>
      <w:rFonts w:ascii="Times New Roman" w:hAnsi="Times New Roman" w:eastAsia="Times New Roman" w:cs="Times New Roman"/>
      <w:sz w:val="24"/>
      <w:szCs w:val="24"/>
      <w:lang w:eastAsia="fr-FR"/>
    </w:rPr>
  </w:style>
  <w:style w:type="character" w:styleId="En-tteCar" w:customStyle="1">
    <w:name w:val="En-tête Car"/>
    <w:basedOn w:val="DefaultParagraphFont"/>
    <w:uiPriority w:val="99"/>
    <w:qFormat/>
    <w:rsid w:val="00cf4571"/>
    <w:rPr>
      <w:rFonts w:ascii="Times New Roman" w:hAnsi="Times New Roman" w:eastAsia="Times New Roman" w:cs="Times New Roman"/>
      <w:sz w:val="24"/>
      <w:szCs w:val="24"/>
      <w:lang w:eastAsia="fr-FR"/>
    </w:rPr>
  </w:style>
  <w:style w:type="character" w:styleId="Puces">
    <w:name w:val="Puces"/>
    <w:qFormat/>
    <w:rPr>
      <w:rFonts w:ascii="Calibri" w:hAnsi="Calibri" w:eastAsia="OpenSymbol" w:cs="OpenSymbol"/>
      <w:sz w:val="22"/>
      <w:szCs w:val="22"/>
    </w:rPr>
  </w:style>
  <w:style w:type="character" w:styleId="Caractresdenumrotation">
    <w:name w:val="Caractères de numérotation"/>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sdetexteCar"/>
    <w:rsid w:val="00cf4571"/>
    <w:pPr>
      <w:suppressAutoHyphens w:val="true"/>
      <w:overflowPunct w:val="true"/>
      <w:spacing w:before="0" w:after="120"/>
    </w:pPr>
    <w:rPr>
      <w:rFonts w:ascii="Calibri" w:hAnsi="Calibri" w:eastAsia="Calibri" w:cs="" w:asciiTheme="minorHAnsi" w:cstheme="minorBidi" w:eastAsiaTheme="minorHAnsi" w:hAnsiTheme="minorHAnsi"/>
      <w:lang w:eastAsia="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cf4571"/>
    <w:pPr>
      <w:spacing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cf4571"/>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cf4571"/>
    <w:pPr>
      <w:spacing w:before="160" w:after="0"/>
      <w:jc w:val="center"/>
    </w:pPr>
    <w:rPr>
      <w:i/>
      <w:iCs/>
      <w:color w:themeColor="text1" w:themeTint="bf" w:val="404040"/>
    </w:rPr>
  </w:style>
  <w:style w:type="paragraph" w:styleId="ListParagraph">
    <w:name w:val="List Paragraph"/>
    <w:basedOn w:val="Normal"/>
    <w:uiPriority w:val="34"/>
    <w:qFormat/>
    <w:rsid w:val="00cf4571"/>
    <w:pPr>
      <w:spacing w:before="0" w:after="0"/>
      <w:ind w:left="720"/>
      <w:contextualSpacing/>
    </w:pPr>
    <w:rPr/>
  </w:style>
  <w:style w:type="paragraph" w:styleId="IntenseQuote">
    <w:name w:val="Intense Quote"/>
    <w:basedOn w:val="Normal"/>
    <w:next w:val="Normal"/>
    <w:link w:val="CitationintenseCar"/>
    <w:uiPriority w:val="30"/>
    <w:qFormat/>
    <w:rsid w:val="00cf4571"/>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En-tteetpieddepage">
    <w:name w:val="En-tête et pied de page"/>
    <w:basedOn w:val="Normal"/>
    <w:qFormat/>
    <w:pPr/>
    <w:rPr/>
  </w:style>
  <w:style w:type="paragraph" w:styleId="Footer">
    <w:name w:val="Footer"/>
    <w:basedOn w:val="Normal"/>
    <w:link w:val="PieddepageCar"/>
    <w:uiPriority w:val="99"/>
    <w:rsid w:val="00cf4571"/>
    <w:pPr>
      <w:tabs>
        <w:tab w:val="clear" w:pos="708"/>
        <w:tab w:val="center" w:pos="4536" w:leader="none"/>
        <w:tab w:val="right" w:pos="9072" w:leader="none"/>
      </w:tabs>
    </w:pPr>
    <w:rPr/>
  </w:style>
  <w:style w:type="paragraph" w:styleId="Contenudecadre" w:customStyle="1">
    <w:name w:val="Contenu de cadre"/>
    <w:basedOn w:val="Normal"/>
    <w:qFormat/>
    <w:rsid w:val="00cf4571"/>
    <w:pPr>
      <w:suppressAutoHyphens w:val="true"/>
      <w:overflowPunct w:val="true"/>
    </w:pPr>
    <w:rPr/>
  </w:style>
  <w:style w:type="paragraph" w:styleId="Header">
    <w:name w:val="Header"/>
    <w:basedOn w:val="Normal"/>
    <w:link w:val="En-tteCar"/>
    <w:uiPriority w:val="99"/>
    <w:unhideWhenUsed/>
    <w:rsid w:val="00cf4571"/>
    <w:pPr>
      <w:tabs>
        <w:tab w:val="clear" w:pos="708"/>
        <w:tab w:val="center" w:pos="4536" w:leader="none"/>
        <w:tab w:val="right" w:pos="9072" w:leader="none"/>
      </w:tabs>
    </w:pPr>
    <w:rPr/>
  </w:style>
  <w:style w:type="paragraph" w:styleId="Texteprformat">
    <w:name w:val="Texte préformaté"/>
    <w:basedOn w:val="Normal"/>
    <w:qFormat/>
    <w:pPr>
      <w:spacing w:before="0" w:after="0"/>
    </w:pPr>
    <w:rPr>
      <w:rFonts w:ascii="Liberation Mono" w:hAnsi="Liberation Mono" w:eastAsia="Liberation Mono" w:cs="Liberation Mono"/>
      <w:sz w:val="20"/>
      <w:szCs w:val="20"/>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simon.zana@digital4b.com" TargetMode="External"/><Relationship Id="rId2" Type="http://schemas.openxmlformats.org/officeDocument/2006/relationships/hyperlink" Target="mailto:simon.zana@digital4b.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simon.zana@digital4b.com" TargetMode="External"/><Relationship Id="rId2" Type="http://schemas.openxmlformats.org/officeDocument/2006/relationships/hyperlink" Target="mailto:simon.zana@digital4b.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595</TotalTime>
  <Application>LibreOffice/24.2.7.2$Linux_X86_64 LibreOffice_project/420$Build-2</Application>
  <AppVersion>15.0000</AppVersion>
  <Pages>1</Pages>
  <Words>198</Words>
  <Characters>1063</Characters>
  <CharactersWithSpaces>1213</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2025-12-10T11:43:00Z</dcterms:created>
  <dc:creator>Lucas Buixuanhy</dc:creator>
  <dc:description/>
  <dc:language>fr-FR</dc:language>
  <cp:lastModifiedBy/>
  <dcterms:modified xsi:type="dcterms:W3CDTF">2026-01-06T11:25:36Z</dcterms:modified>
  <cp:revision>255</cp:revision>
  <dc:subject/>
  <dc:title/>
  <dc:identifier/>
</cp:coreProperties>
</file>

<file path=docProps/custom.xml><?xml version="1.0" encoding="utf-8"?>
<Properties xmlns="http://schemas.openxmlformats.org/officeDocument/2006/custom-properties" xmlns:vt="http://schemas.openxmlformats.org/officeDocument/2006/docPropsVTypes"/>
</file>