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de sourcing complet, incluant l'analyse Make‑or‑Buy et la création de panels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des appels d'offres pour des achats directs et indirects de forte valeur.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droit des contrats et du management du risque fournisseur, avec mise en place de stratégies d'achats durables.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la chaîne d'approvisionnement (Supply Chain Management) pour les secteurs sidérurgie, ferroviaire, aéronautique et automobile.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et déploiement de stratégies d'achats indirects et CAPEX, incluant le management fonctionnel d’équipes d’analystes achats.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de projets d’électrification, de rénovation de métros et de conversion de véhicules utilitaires, avec suivi des économies réalisées.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Audit fournisseurs (qualité, innovation) et construction de cartographies et panels fournisseurs pour optimiser le TCO.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des contrats cadres, renégociation et claim management pour garantir la performance et la conformité contractuelle.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Compétences linguistiques avancées (anglais C1, espagnol C2, allemand B2, portugais B1) facilitant la communication multinationale.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(avancé)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 / 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 et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 indirects / Chef de projet achats électrification flotte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 projet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projet véhicules utilitaires légers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2"/>
        <w:gridCol w:w="2661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40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fals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fals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Application>LibreOffice/24.2.7.2$Linux_X86_64 LibreOffice_project/420$Build-2</Application>
  <AppVersion>15.0000</AppVersion>
  <Pages>1</Pages>
  <Words>197</Words>
  <Characters>1080</Characters>
  <CharactersWithSpaces>1230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2026-01-07T10:28:39Z</dcterms:modified>
  <cp:revision>256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