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sz w:val="21"/>
          <w:szCs w:val="21"/>
        </w:rPr>
      </w:pPr>
      <w:r>
        <w:rPr>
          <w:sz w:val="21"/>
          <w:szCs w:val="21"/>
        </w:rPr>
      </w:r>
    </w:p>
    <w:p>
      <w:pPr>
        <w:pStyle w:val="Normal"/>
        <w:spacing w:before="0" w:after="19"/>
        <w:rPr/>
      </w:pPr>
      <w:r>
        <w:rPr/>
        <mc:AlternateContent>
          <mc:Choice Requires="wps">
            <w:drawing>
              <wp:inline distT="0" distB="0" distL="0" distR="0" wp14:anchorId="66AFEDD7">
                <wp:extent cx="6494145" cy="309880"/>
                <wp:effectExtent l="0" t="0" r="20955" b="13970"/>
                <wp:docPr id="1001" name="Rectangle : coins arrondis 1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a:noAutofit/>
                      </wps:bodyPr>
                    </wps:wsp>
                  </a:graphicData>
                </a:graphic>
              </wp:inline>
            </w:drawing>
          </mc:Choice>
          <mc:Fallback>
            <w:pict/>
          </mc:Fallback>
        </mc:AlternateContent>
      </w:r>
    </w:p>
    <w:p>
      <w:pPr>
        <w:pStyle w:val="Normal"/>
        <w:rPr>
          <w:sz w:val="16"/>
          <w:szCs w:val="16"/>
        </w:rPr>
      </w:pPr>
      <w:r>
        <w:rPr>
          <w:rFonts w:cs="Calibri" w:ascii="Calibri" w:hAnsi="Calibri"/>
          <w:sz w:val="16"/>
          <w:szCs w:val="16"/>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Pilotage du processus de sourcing complet, de l’analyse Make‑or‑Buy à la mise en place de panels fournisseurs.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Négociation internationale et gestion contractuelle, incluant le droit des contrats et la renégociation de cadres de maintenance.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Analyse des risques fournisseurs et mise en place de stratégies d’achats durables.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Gestion de la chaîne d’approvisionnement (Supply Chain Management) pour des projets industriels complexes (sidérurgie, ferroviaire, aéronautique, automobile).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Conception et déploiement de stratégies d’achats indirects, CAPEX et de projets de travaux neufs, avec suivi des économies réalisées.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Management fonctionnel d’équipes d’acheteurs et d’assistants achats, coordination transversale.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Reporting stratégique et suivi des savings, élaboration de rapports d’efficacité et d’optimisation des coûts.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Audit fournisseurs (qualité, innovation) et construction de cartographies et panels fournisseurs.</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Gestion du claim management et suivi des pièces de rechange.</w:t>
      </w:r>
    </w:p>
    <w:p>
      <w:pPr>
        <w:pStyle w:val="Normal"/>
        <w:rPr>
          <w:sz w:val="20"/>
          <w:szCs w:val="20"/>
        </w:rPr>
      </w:pPr>
      <w:r>
        <w:rPr>
          <w:sz w:val="20"/>
          <w:szCs w:val="20"/>
        </w:rPr>
        <w:t xml:space="preserve"/>
      </w:r>
    </w:p>
    <w:p>
      <w:pPr>
        <w:pStyle w:val="ListParagraph"/>
        <w:numPr>
          <w:ilvl w:val="0"/>
          <w:numId w:val="1"/>
        </w:numPr>
        <w:tabs>
          <w:tab w:val="clear" w:pos="708"/>
          <w:tab w:val="left" w:pos="1134" w:leader="none"/>
        </w:tabs>
        <w:spacing w:before="60" w:after="0"/>
        <w:contextualSpacing/>
        <w:rPr>
          <w:sz w:val="20"/>
          <w:szCs w:val="20"/>
        </w:rPr>
      </w:pPr>
      <w:r>
        <w:rPr>
          <w:rFonts w:cs="Calibri" w:ascii="Calibri" w:hAnsi="Calibri"/>
          <w:color w:val="002060"/>
          <w:sz w:val="20"/>
          <w:szCs w:val="20"/>
        </w:rPr>
        <w:t xml:space="preserve">Maîtrise de plusieurs langues (anglais C1, espagnol C2, allemand B2, portugais B1).</w:t>
      </w:r>
    </w:p>
    <w:p>
      <w:pPr>
        <w:pStyle w:val="Normal"/>
        <w:rPr>
          <w:sz w:val="20"/>
          <w:szCs w:val="20"/>
        </w:rPr>
      </w:pPr>
      <w:r>
        <w:rPr>
          <w:sz w:val="20"/>
          <w:szCs w:val="20"/>
        </w:rPr>
        <w:t xml:space="preserve"/>
      </w:r>
    </w:p>
    <w:p>
      <w:pPr>
        <w:pStyle w:val="Normal"/>
        <w:rPr/>
      </w:pPr>
      <w:r>
        <w:rPr/>
        <mc:AlternateContent>
          <mc:Choice Requires="wps">
            <w:drawing>
              <wp:inline distT="0" distB="0" distL="0" distR="0" wp14:anchorId="0644434D">
                <wp:extent cx="6494145" cy="309880"/>
                <wp:effectExtent l="0" t="0" r="20955" b="13970"/>
                <wp:docPr id="1002" name="Rectangle : coins arrondis 9"/>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a:noAutofit/>
                      </wps:bodyPr>
                    </wps:wsp>
                  </a:graphicData>
                </a:graphic>
              </wp:inline>
            </w:drawing>
          </mc:Choice>
          <mc:Fallback>
            <w:pict/>
          </mc:Fallback>
        </mc:AlternateConten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pacing w:before="60" w:after="0"/>
        <w:ind w:hanging="567" w:left="1134"/>
        <w:rPr>
          <w:sz w:val="20"/>
          <w:szCs w:val="20"/>
        </w:rPr>
      </w:pPr>
      <w:r>
        <w:rPr>
          <w:rFonts w:cs="Calibri" w:ascii="Calibri" w:hAnsi="Calibri"/>
          <w:b/>
          <w:bCs/>
          <w:color w:val="002060"/>
          <w:sz w:val="20"/>
          <w:szCs w:val="20"/>
        </w:rPr>
        <w:t xml:space="preserve">Bureautique:</w:t>
      </w:r>
      <w:r>
        <w:rPr>
          <w:rFonts w:cs="Calibri" w:ascii="Calibri" w:hAnsi="Calibri"/>
          <w:color w:val="002060"/>
          <w:sz w:val="20"/>
          <w:szCs w:val="20"/>
        </w:rPr>
        <w:t xml:space="preserve"> Microsoft Office (avancé)</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pacing w:before="60" w:after="0"/>
        <w:ind w:hanging="567" w:left="1134"/>
        <w:rPr>
          <w:sz w:val="20"/>
          <w:szCs w:val="20"/>
        </w:rPr>
      </w:pPr>
      <w:r>
        <w:rPr>
          <w:rFonts w:cs="Calibri" w:ascii="Calibri" w:hAnsi="Calibri"/>
          <w:b/>
          <w:bCs/>
          <w:color w:val="002060"/>
          <w:sz w:val="20"/>
          <w:szCs w:val="20"/>
        </w:rPr>
        <w:t xml:space="preserve">ERP et systèmes d’achat:</w:t>
      </w:r>
      <w:r>
        <w:rPr>
          <w:rFonts w:cs="Calibri" w:ascii="Calibri" w:hAnsi="Calibri"/>
          <w:color w:val="002060"/>
          <w:sz w:val="20"/>
          <w:szCs w:val="20"/>
        </w:rPr>
        <w:t xml:space="preserve"> SAP (avancé)</w:t>
      </w:r>
    </w:p>
    <w:p>
      <w:pPr>
        <w:pStyle w:val="Normal"/>
        <w:rPr>
          <w:sz w:val="16"/>
          <w:szCs w:val="16"/>
        </w:rPr>
      </w:pPr>
      <w:r>
        <w:rPr>
          <w:rFonts w:ascii="Calibri" w:hAnsi="Calibri"/>
          <w:sz w:val="16"/>
          <w:szCs w:val="16"/>
        </w:rPr>
        <w:t xml:space="preserve"/>
      </w:r>
    </w:p>
    <w:p>
      <w:pPr>
        <w:pStyle w:val="Normal"/>
        <w:spacing w:before="0" w:after="19"/>
        <w:rPr/>
      </w:pPr>
      <w:r>
        <w:rPr/>
        <mc:AlternateContent>
          <mc:Choice Requires="wps">
            <w:drawing>
              <wp:inline distT="0" distB="0" distL="0" distR="0" wp14:anchorId="03D68D8F">
                <wp:extent cx="6494145" cy="309880"/>
                <wp:effectExtent l="0" t="0" r="20955" b="13970"/>
                <wp:docPr id="1003" name="Rectangle : coins arrondis 7"/>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a:noAutofit/>
                      </wps:bodyPr>
                    </wps:wsp>
                  </a:graphicData>
                </a:graphic>
              </wp:inline>
            </w:drawing>
          </mc:Choice>
          <mc:Fallback>
            <w:pict/>
          </mc:Fallback>
        </mc:AlternateContent>
      </w:r>
    </w:p>
    <w:p>
      <w:pPr>
        <w:pStyle w:val="Normal"/>
        <w:spacing w:before="0" w:after="19"/>
        <w:rPr>
          <w:sz w:val="16"/>
          <w:szCs w:val="16"/>
        </w:rPr>
      </w:pPr>
      <w:r>
        <w:rPr>
          <w:rFonts w:ascii="Calibri" w:hAnsi="Calibri"/>
          <w:sz w:val="16"/>
          <w:szCs w:val="16"/>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sidérurgie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ferroviaire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aéronautique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automobile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horlogerie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alimentaire</w:t>
      </w:r>
      <w:r>
        <w:rPr>
          <w:rFonts w:cs="Calibri" w:ascii="Calibri" w:hAnsi="Calibri"/>
          <w:color w:val="000000"/>
        </w:rPr>
        <w:t xml:space="preserve"/>
      </w:r>
    </w:p>
    <w:p>
      <w:pPr>
        <w:pStyle w:val="Normal"/>
        <w:numPr>
          <w:ilvl w:val="0"/>
          <w:numId w:val="3"/>
        </w:numPr>
        <w:tabs>
          <w:tab w:val="clear" w:pos="708"/>
          <w:tab w:val="left" w:pos="1134" w:leader="none"/>
        </w:tabs>
        <w:spacing w:before="60" w:after="0"/>
        <w:ind w:hanging="567" w:left="1134"/>
        <w:rPr/>
      </w:pPr>
      <w:r>
        <w:rPr>
          <w:rFonts w:cs="Calibri" w:ascii="Calibri" w:hAnsi="Calibri"/>
          <w:color w:val="002060"/>
          <w:sz w:val="20"/>
          <w:szCs w:val="20"/>
        </w:rPr>
        <w:t xml:space="preserve">minier</w:t>
      </w:r>
      <w:r>
        <w:rPr>
          <w:rFonts w:cs="Calibri" w:ascii="Calibri" w:hAnsi="Calibri"/>
          <w:color w:val="000000"/>
        </w:rPr>
        <w:t xml:space="preserve"/>
      </w:r>
    </w:p>
    <w:p>
      <w:pPr>
        <w:pStyle w:val="Normal"/>
        <w:rPr/>
      </w:pPr>
      <w:r>
        <w:rPr/>
        <mc:AlternateContent>
          <mc:Choice Requires="wps">
            <w:drawing>
              <wp:inline distT="0" distB="0" distL="0" distR="0" wp14:anchorId="59015D59">
                <wp:extent cx="6494145" cy="309880"/>
                <wp:effectExtent l="0" t="0" r="20955" b="13970"/>
                <wp:docPr id="1004" name="Rectangle : coins arrondis 5"/>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a:noAutofit/>
                      </wps:bodyPr>
                    </wps:wsp>
                  </a:graphicData>
                </a:graphic>
              </wp:inline>
            </w:drawing>
          </mc:Choice>
          <mc:Fallback>
            <w:pict/>
          </mc:Fallback>
        </mc:AlternateContent>
      </w:r>
    </w:p>
    <w:p>
      <w:pPr>
        <w:pStyle w:val="Normal"/>
        <w:rPr>
          <w:sz w:val="21"/>
          <w:szCs w:val="21"/>
        </w:rPr>
      </w:pPr>
      <w:r>
        <w:rPr>
          <w:rFonts w:ascii="Calibri" w:hAnsi="Calibri"/>
          <w:sz w:val="21"/>
          <w:szCs w:val="21"/>
        </w:rPr>
        <w:t xml:space="preserve"/>
      </w:r>
    </w:p>
    <w:tbl>
      <w:tblPr>
        <w:tblStyle w:val="PlainTable1"/>
        <w:tblW w:w="10218" w:type="dxa"/>
        <w:jc w:val="left"/>
        <w:tblInd w:w="0" w:type="dxa"/>
        <w:tblLayout w:type="fixed"/>
        <w:tblCellMar>
          <w:top w:w="0" w:type="dxa"/>
          <w:left w:w="5" w:type="dxa"/>
          <w:bottom w:w="0" w:type="dxa"/>
          <w:right w:w="5" w:type="dxa"/>
        </w:tblCellMar>
      </w:tblPr>
      <w:tblGrid>
        <w:gridCol w:w="7481"/>
        <w:gridCol w:w="2736"/>
      </w:tblGrid>
      <w:tr>
        <w:trPr>
          <w:trHeight w:val="300" w:hRule="atLeast"/>
        </w:trPr>
        <w:tc>
          <w:tcPr>
            <w:tcW w:w="7481"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numPr>
                <w:ilvl w:val="0"/>
                <w:numId w:val="4"/>
              </w:numPr>
              <w:suppressAutoHyphens w:val="true"/>
              <w:spacing w:lineRule="auto" w:line="240" w:before="0" w:after="0"/>
              <w:jc w:val="left"/>
              <w:rPr>
                <w:rFonts w:ascii="Calibri" w:hAnsi="Calibri" w:eastAsia="Calibri" w:cs=""/>
                <w:b/>
                <w:bCs/>
                <w:kern w:val="0"/>
                <w:sz w:val="22"/>
                <w:szCs w:val="22"/>
                <w:lang w:val="fr-FR" w:eastAsia="en-US" w:bidi="ar-SA"/>
              </w:rPr>
            </w:pPr>
            <w:r>
              <w:rPr>
                <w:rFonts w:eastAsia="Calibri" w:cs="" w:ascii="Calibri" w:hAnsi="Calibri"/>
                <w:b/>
                <w:bCs/>
                <w:kern w:val="0"/>
                <w:sz w:val="20"/>
                <w:szCs w:val="20"/>
                <w:lang w:val="fr-FR" w:eastAsia="en-US" w:bidi="ar-SA"/>
              </w:rPr>
              <w:t xml:space="preserve"/>
            </w:r>
            <w:r>
              <w:rPr>
                <w:rFonts w:eastAsia="Calibri" w:cs="" w:ascii="Calibri" w:hAnsi="Calibri"/>
                <w:b w:val="false"/>
                <w:bCs w:val="false"/>
                <w:color w:val="002060"/>
                <w:kern w:val="0"/>
                <w:sz w:val="22"/>
                <w:szCs w:val="22"/>
                <w:lang w:val="fr-FR" w:eastAsia="en-US" w:bidi="ar-SA"/>
              </w:rPr>
              <w:t xml:space="preserve">Master Affaires Internationales</w:t>
            </w:r>
            <w:r>
              <w:rPr>
                <w:rFonts w:eastAsia="Calibri" w:cs="" w:ascii="Calibri" w:hAnsi="Calibri"/>
                <w:b/>
                <w:bCs/>
                <w:kern w:val="0"/>
                <w:sz w:val="20"/>
                <w:szCs w:val="20"/>
                <w:lang w:val="fr-FR" w:eastAsia="en-US" w:bidi="ar-SA"/>
              </w:rPr>
              <w:t xml:space="preserve"/>
            </w:r>
          </w:p>
          <w:p>
            <w:pPr>
              <w:pStyle w:val="Contenudetableau"/>
              <w:widowControl/>
              <w:numPr>
                <w:ilvl w:val="0"/>
                <w:numId w:val="0"/>
              </w:numPr>
              <w:suppressAutoHyphens w:val="true"/>
              <w:spacing w:lineRule="auto" w:line="240" w:before="0" w:after="0"/>
              <w:ind w:hanging="0" w:left="720"/>
              <w:jc w:val="left"/>
              <w:rPr>
                <w:rFonts w:ascii="Calibri" w:hAnsi="Calibri"/>
                <w:sz w:val="20"/>
                <w:szCs w:val="20"/>
              </w:rPr>
            </w:pPr>
            <w:r>
              <w:rPr>
                <w:rFonts w:eastAsia="Calibri" w:cs="Calibri" w:ascii="Calibri" w:hAnsi="Calibri"/>
                <w:b w:val="false"/>
                <w:bCs w:val="false"/>
                <w:color w:val="002060"/>
                <w:kern w:val="0"/>
                <w:sz w:val="20"/>
                <w:szCs w:val="20"/>
                <w:lang w:val="fr-FR" w:eastAsia="en-US" w:bidi="ar-SA"/>
              </w:rPr>
              <w:t xml:space="preserve">Université Paris Nanterre</w:t>
            </w:r>
            <w:r>
              <w:rPr>
                <w:rFonts w:eastAsia="Calibri" w:cs="Calibri" w:ascii="Calibri" w:hAnsi="Calibri"/>
                <w:b w:val="false"/>
                <w:bCs w:val="false"/>
                <w:color w:val="auto"/>
                <w:kern w:val="0"/>
                <w:sz w:val="20"/>
                <w:szCs w:val="20"/>
                <w:lang w:val="fr-FR" w:eastAsia="en-US" w:bidi="ar-SA"/>
              </w:rPr>
              <w:t xml:space="preserve"/>
            </w:r>
            <w:r>
              <w:rPr>
                <w:rFonts w:eastAsia="Calibri" w:cs="Calibri" w:ascii="Calibri" w:hAnsi="Calibri"/>
                <w:b w:val="false"/>
                <w:bCs w:val="false"/>
                <w:color w:val="002060"/>
                <w:kern w:val="0"/>
                <w:sz w:val="20"/>
                <w:szCs w:val="20"/>
                <w:lang w:val="fr-FR" w:eastAsia="en-US" w:bidi="ar-SA"/>
              </w:rPr>
              <w:t xml:space="preserve"/>
            </w:r>
          </w:p>
        </w:tc>
        <w:tc>
          <w:tcPr>
            <w:tcW w:w="2736" w:type="dxa"/>
            <w:cnfStyle w:val="000000000000" w:firstRow="0" w:lastRow="0" w:firstColumn="0"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suppressAutoHyphens w:val="true"/>
              <w:spacing w:lineRule="auto" w:line="240" w:before="0" w:after="0"/>
              <w:jc w:val="center"/>
              <w:rPr>
                <w:b w:val="false"/>
                <w:bCs w:val="false"/>
              </w:rPr>
            </w:pPr>
            <w:r>
              <w:rPr>
                <w:rFonts w:eastAsia="Calibri" w:cs="" w:ascii="Calibri" w:hAnsi="Calibri"/>
                <w:b w:val="false"/>
                <w:bCs w:val="false"/>
                <w:color w:val="002060"/>
                <w:kern w:val="0"/>
                <w:sz w:val="22"/>
                <w:szCs w:val="22"/>
                <w:lang w:val="fr-FR" w:eastAsia="en-US" w:bidi="ar-SA"/>
              </w:rPr>
              <w:t xml:space="preserve">2014</w:t>
            </w:r>
          </w:p>
        </w:tc>
      </w:tr>
    </w:tbl>
    <w:p>
      <w:pPr>
        <w:pStyle w:val="Normal"/>
        <w:rPr>
          <w:sz w:val="21"/>
          <w:szCs w:val="21"/>
        </w:rPr>
      </w:pPr>
      <w:r>
        <w:rPr>
          <w:rFonts w:ascii="Calibri" w:hAnsi="Calibri"/>
          <w:sz w:val="21"/>
          <w:szCs w:val="21"/>
        </w:rPr>
        <w:t xml:space="preserve"/>
      </w:r>
    </w:p>
    <w:tbl>
      <w:tblPr>
        <w:tblStyle w:val="PlainTable1"/>
        <w:tblW w:w="10218" w:type="dxa"/>
        <w:jc w:val="left"/>
        <w:tblInd w:w="0" w:type="dxa"/>
        <w:tblLayout w:type="fixed"/>
        <w:tblCellMar>
          <w:top w:w="0" w:type="dxa"/>
          <w:left w:w="5" w:type="dxa"/>
          <w:bottom w:w="0" w:type="dxa"/>
          <w:right w:w="5" w:type="dxa"/>
        </w:tblCellMar>
      </w:tblPr>
      <w:tblGrid>
        <w:gridCol w:w="7481"/>
        <w:gridCol w:w="2736"/>
      </w:tblGrid>
      <w:tr>
        <w:trPr>
          <w:trHeight w:val="300" w:hRule="atLeast"/>
        </w:trPr>
        <w:tc>
          <w:tcPr>
            <w:tcW w:w="7481" w:type="dxa"/>
            <w:cnfStyle w:val="001000000000" w:firstRow="0" w:lastRow="0" w:firstColumn="1"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numPr>
                <w:ilvl w:val="0"/>
                <w:numId w:val="4"/>
              </w:numPr>
              <w:suppressAutoHyphens w:val="true"/>
              <w:spacing w:lineRule="auto" w:line="240" w:before="0" w:after="0"/>
              <w:jc w:val="left"/>
              <w:rPr>
                <w:rFonts w:ascii="Calibri" w:hAnsi="Calibri" w:eastAsia="Calibri" w:cs=""/>
                <w:b/>
                <w:bCs/>
                <w:kern w:val="0"/>
                <w:sz w:val="22"/>
                <w:szCs w:val="22"/>
                <w:lang w:val="fr-FR" w:eastAsia="en-US" w:bidi="ar-SA"/>
              </w:rPr>
            </w:pPr>
            <w:r>
              <w:rPr>
                <w:rFonts w:eastAsia="Calibri" w:cs="" w:ascii="Calibri" w:hAnsi="Calibri"/>
                <w:b/>
                <w:bCs/>
                <w:kern w:val="0"/>
                <w:sz w:val="20"/>
                <w:szCs w:val="20"/>
                <w:lang w:val="fr-FR" w:eastAsia="en-US" w:bidi="ar-SA"/>
              </w:rPr>
              <w:t xml:space="preserve"/>
            </w:r>
            <w:r>
              <w:rPr>
                <w:rFonts w:eastAsia="Calibri" w:cs="" w:ascii="Calibri" w:hAnsi="Calibri"/>
                <w:b w:val="false"/>
                <w:bCs w:val="false"/>
                <w:color w:val="002060"/>
                <w:kern w:val="0"/>
                <w:sz w:val="22"/>
                <w:szCs w:val="22"/>
                <w:lang w:val="fr-FR" w:eastAsia="en-US" w:bidi="ar-SA"/>
              </w:rPr>
              <w:t xml:space="preserve">Master Management global des achats et de la chaîne logistique</w:t>
            </w:r>
            <w:r>
              <w:rPr>
                <w:rFonts w:eastAsia="Calibri" w:cs="" w:ascii="Calibri" w:hAnsi="Calibri"/>
                <w:b/>
                <w:bCs/>
                <w:kern w:val="0"/>
                <w:sz w:val="20"/>
                <w:szCs w:val="20"/>
                <w:lang w:val="fr-FR" w:eastAsia="en-US" w:bidi="ar-SA"/>
              </w:rPr>
              <w:t xml:space="preserve"/>
            </w:r>
          </w:p>
          <w:p>
            <w:pPr>
              <w:pStyle w:val="Contenudetableau"/>
              <w:widowControl/>
              <w:numPr>
                <w:ilvl w:val="0"/>
                <w:numId w:val="0"/>
              </w:numPr>
              <w:suppressAutoHyphens w:val="true"/>
              <w:spacing w:lineRule="auto" w:line="240" w:before="0" w:after="0"/>
              <w:ind w:hanging="0" w:left="720"/>
              <w:jc w:val="left"/>
              <w:rPr>
                <w:rFonts w:ascii="Calibri" w:hAnsi="Calibri"/>
                <w:sz w:val="20"/>
                <w:szCs w:val="20"/>
              </w:rPr>
            </w:pPr>
            <w:r>
              <w:rPr>
                <w:rFonts w:eastAsia="Calibri" w:cs="Calibri" w:ascii="Calibri" w:hAnsi="Calibri"/>
                <w:b w:val="false"/>
                <w:bCs w:val="false"/>
                <w:color w:val="002060"/>
                <w:kern w:val="0"/>
                <w:sz w:val="20"/>
                <w:szCs w:val="20"/>
                <w:lang w:val="fr-FR" w:eastAsia="en-US" w:bidi="ar-SA"/>
              </w:rPr>
              <w:t xml:space="preserve">Université Paris Saclay</w:t>
            </w:r>
            <w:r>
              <w:rPr>
                <w:rFonts w:eastAsia="Calibri" w:cs="Calibri" w:ascii="Calibri" w:hAnsi="Calibri"/>
                <w:b w:val="false"/>
                <w:bCs w:val="false"/>
                <w:color w:val="auto"/>
                <w:kern w:val="0"/>
                <w:sz w:val="20"/>
                <w:szCs w:val="20"/>
                <w:lang w:val="fr-FR" w:eastAsia="en-US" w:bidi="ar-SA"/>
              </w:rPr>
              <w:t xml:space="preserve"/>
            </w:r>
            <w:r>
              <w:rPr>
                <w:rFonts w:eastAsia="Calibri" w:cs="Calibri" w:ascii="Calibri" w:hAnsi="Calibri"/>
                <w:b w:val="false"/>
                <w:bCs w:val="false"/>
                <w:color w:val="002060"/>
                <w:kern w:val="0"/>
                <w:sz w:val="20"/>
                <w:szCs w:val="20"/>
                <w:lang w:val="fr-FR" w:eastAsia="en-US" w:bidi="ar-SA"/>
              </w:rPr>
              <w:t xml:space="preserve"/>
            </w:r>
          </w:p>
        </w:tc>
        <w:tc>
          <w:tcPr>
            <w:tcW w:w="2736" w:type="dxa"/>
            <w:cnfStyle w:val="000000000000" w:firstRow="0" w:lastRow="0" w:firstColumn="0" w:lastColumn="0" w:oddVBand="0" w:evenVBand="0" w:oddHBand="0" w:evenHBand="0" w:firstRowFirstColumn="0" w:firstRowLastColumn="0" w:lastRowFirstColumn="0" w:lastRowLastColumn="0"/>
            <w:tcBorders>
              <w:top w:val="single" w:sz="4" w:space="0" w:color="FFFFFF"/>
              <w:left w:val="single" w:sz="4" w:space="0" w:color="FFFFFF"/>
              <w:bottom w:val="single" w:sz="4" w:space="0" w:color="FFFFFF"/>
              <w:right w:val="single" w:sz="4" w:space="0" w:color="FFFFFF"/>
            </w:tcBorders>
          </w:tcPr>
          <w:p>
            <w:pPr>
              <w:pStyle w:val="Contenudetableau"/>
              <w:widowControl/>
              <w:suppressAutoHyphens w:val="true"/>
              <w:spacing w:lineRule="auto" w:line="240" w:before="0" w:after="0"/>
              <w:jc w:val="center"/>
              <w:rPr>
                <w:b w:val="false"/>
                <w:bCs w:val="false"/>
              </w:rPr>
            </w:pPr>
            <w:r>
              <w:rPr>
                <w:rFonts w:eastAsia="Calibri" w:cs="" w:ascii="Calibri" w:hAnsi="Calibri"/>
                <w:b w:val="false"/>
                <w:bCs w:val="false"/>
                <w:color w:val="002060"/>
                <w:kern w:val="0"/>
                <w:sz w:val="22"/>
                <w:szCs w:val="22"/>
                <w:lang w:val="fr-FR" w:eastAsia="en-US" w:bidi="ar-SA"/>
              </w:rPr>
              <w:t xml:space="preserve">2016</w:t>
            </w:r>
          </w:p>
        </w:tc>
      </w:tr>
    </w:tbl>
    <w:p>
      <w:pPr>
        <w:pStyle w:val="Normal"/>
        <w:rPr>
          <w:sz w:val="21"/>
          <w:szCs w:val="21"/>
        </w:rPr>
      </w:pPr>
      <w:r>
        <w:rPr>
          <w:rFonts w:ascii="Calibri" w:hAnsi="Calibri"/>
          <w:sz w:val="21"/>
          <w:szCs w:val="21"/>
        </w:rPr>
        <w:t xml:space="preserve"/>
      </w:r>
      <w:r>
        <w:rPr>
          <w:sz w:val="21"/>
          <w:szCs w:val="21"/>
        </w:rPr>
        <w:t xml:space="preserve"/>
      </w:r>
    </w:p>
    <w:p>
      <w:pPr>
        <w:pStyle w:val="Normal"/>
        <w:rPr/>
      </w:pPr>
      <w:r>
        <w:rPr/>
        <mc:AlternateContent>
          <mc:Choice Requires="wps">
            <w:drawing>
              <wp:inline distT="0" distB="0" distL="0" distR="0" wp14:anchorId="2466F43A">
                <wp:extent cx="6494145" cy="309880"/>
                <wp:effectExtent l="0" t="0" r="20955" b="13970"/>
                <wp:docPr id="1005" name="Rectangle : coins arrondis 3"/>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LANGUES</w:t>
                            </w:r>
                          </w:p>
                        </w:txbxContent>
                      </wps:txbx>
                      <wps:bodyPr anchor="t">
                        <a:noAutofit/>
                      </wps:bodyPr>
                    </wps:wsp>
                  </a:graphicData>
                </a:graphic>
              </wp:inline>
            </w:drawing>
          </mc:Choice>
          <mc:Fallback>
            <w:pict/>
          </mc:Fallback>
        </mc:AlternateContent>
      </w:r>
    </w:p>
    <w:p>
      <w:pPr>
        <w:pStyle w:val="Normal"/>
        <w:rPr>
          <w:sz w:val="21"/>
          <w:szCs w:val="21"/>
        </w:rPr>
      </w:pPr>
      <w:r>
        <w:rPr>
          <w:rFonts w:ascii="Calibri" w:hAnsi="Calibri"/>
          <w:sz w:val="21"/>
          <w:szCs w:val="21"/>
        </w:rPr>
        <w:t xml:space="preserve"/>
      </w:r>
    </w:p>
    <w:p>
      <w:pPr>
        <w:pStyle w:val="Normal"/>
        <w:numPr>
          <w:ilvl w:val="0"/>
          <w:numId w:val="6"/>
        </w:numPr>
        <w:rPr>
          <w:sz w:val="21"/>
          <w:szCs w:val="21"/>
        </w:rPr>
      </w:pPr>
      <w:r>
        <w:rPr>
          <w:rFonts w:cs="Calibri" w:ascii="Calibri" w:hAnsi="Calibri"/>
          <w:color w:val="002060"/>
          <w:sz w:val="21"/>
          <w:szCs w:val="21"/>
        </w:rPr>
        <w:t xml:space="preserve">Anglais :  </w:t>
        <w:tab/>
        <w:t xml:space="preserve">courant C1</w:t>
      </w:r>
    </w:p>
    <w:p>
      <w:pPr>
        <w:pStyle w:val="Normal"/>
        <w:numPr>
          <w:ilvl w:val="0"/>
          <w:numId w:val="6"/>
        </w:numPr>
        <w:rPr>
          <w:sz w:val="21"/>
          <w:szCs w:val="21"/>
        </w:rPr>
      </w:pPr>
      <w:r>
        <w:rPr>
          <w:rFonts w:cs="Calibri" w:ascii="Calibri" w:hAnsi="Calibri"/>
          <w:color w:val="002060"/>
          <w:sz w:val="21"/>
          <w:szCs w:val="21"/>
        </w:rPr>
        <w:t xml:space="preserve">Espagnol :  </w:t>
        <w:tab/>
        <w:t xml:space="preserve">avancé C2</w:t>
      </w:r>
    </w:p>
    <w:p>
      <w:pPr>
        <w:pStyle w:val="Normal"/>
        <w:numPr>
          <w:ilvl w:val="0"/>
          <w:numId w:val="6"/>
        </w:numPr>
        <w:rPr>
          <w:sz w:val="21"/>
          <w:szCs w:val="21"/>
        </w:rPr>
      </w:pPr>
      <w:r>
        <w:rPr>
          <w:rFonts w:cs="Calibri" w:ascii="Calibri" w:hAnsi="Calibri"/>
          <w:color w:val="002060"/>
          <w:sz w:val="21"/>
          <w:szCs w:val="21"/>
        </w:rPr>
        <w:t xml:space="preserve">Allemand :  </w:t>
        <w:tab/>
        <w:t xml:space="preserve">intermédiaire B2</w:t>
      </w:r>
    </w:p>
    <w:p>
      <w:pPr>
        <w:pStyle w:val="Normal"/>
        <w:numPr>
          <w:ilvl w:val="0"/>
          <w:numId w:val="6"/>
        </w:numPr>
        <w:rPr>
          <w:sz w:val="21"/>
          <w:szCs w:val="21"/>
        </w:rPr>
      </w:pPr>
      <w:r>
        <w:rPr>
          <w:rFonts w:cs="Calibri" w:ascii="Calibri" w:hAnsi="Calibri"/>
          <w:color w:val="002060"/>
          <w:sz w:val="21"/>
          <w:szCs w:val="21"/>
        </w:rPr>
        <w:t xml:space="preserve">Portugais :  </w:t>
        <w:tab/>
        <w:t xml:space="preserve">intermédiaire B1</w:t>
        <w:tab/>
      </w:r>
    </w:p>
    <w:p>
      <w:pPr>
        <w:pStyle w:val="Normal"/>
        <w:tabs>
          <w:tab w:val="clear" w:pos="708"/>
          <w:tab w:val="left" w:pos="1134" w:leader="none"/>
        </w:tabs>
        <w:spacing w:before="60" w:after="0"/>
        <w:ind w:hanging="567" w:left="1134"/>
        <w:jc w:val="left"/>
        <w:rPr/>
      </w:pPr>
      <w:r>
        <w:rPr>
          <w:rFonts w:cs="Calibri" w:ascii="Calibri" w:hAnsi="Calibri"/>
          <w:b w:val="false"/>
          <w:bCs w:val="false"/>
          <w:color w:val="000000"/>
          <w:sz w:val="21"/>
          <w:szCs w:val="21"/>
        </w:rPr>
        <w:t xml:space="preserve"/>
      </w:r>
    </w:p>
    <w:p>
      <w:pPr>
        <w:pStyle w:val="Normal"/>
        <w:rPr/>
      </w:pPr>
      <w:r>
        <w:rPr/>
        <mc:AlternateContent>
          <mc:Choice Requires="wps">
            <w:drawing>
              <wp:inline distT="0" distB="0" distL="0" distR="0" wp14:anchorId="1CB42732">
                <wp:extent cx="6494145" cy="309880"/>
                <wp:effectExtent l="0" t="0" r="20955" b="13970"/>
                <wp:docPr id="1006" name="Rectangle : coins arrondis 1"/>
                <a:graphic xmlns:a="http://schemas.openxmlformats.org/drawingml/2006/main">
                  <a:graphicData uri="http://schemas.microsoft.com/office/word/2010/wordprocessingShape">
                    <wps:wsp>
                      <wps:cNvSpPr/>
                      <wps:spPr>
                        <a:xfrm>
                          <a:off x="0" y="0"/>
                          <a:ext cx="6494040" cy="309960"/>
                        </a:xfrm>
                        <a:prstGeom prst="roundRect">
                          <a:avLst>
                            <a:gd name="adj" fmla="val 16667"/>
                          </a:avLst>
                        </a:prstGeom>
                        <a:gradFill rotWithShape="0">
                          <a:gsLst>
                            <a:gs pos="0">
                              <a:srgbClr val="284475"/>
                            </a:gs>
                            <a:gs pos="100000">
                              <a:srgbClr val="4472c4"/>
                            </a:gs>
                          </a:gsLst>
                          <a:lin ang="18900000"/>
                        </a:gradFill>
                        <a:ln w="12600">
                          <a:solidFill>
                            <a:srgbClr val="02466d"/>
                          </a:solidFill>
                          <a:round/>
                        </a:ln>
                      </wps:spPr>
                      <wps:style>
                        <a:lnRef idx="0"/>
                        <a:fillRef idx="0"/>
                        <a:effectRef idx="0"/>
                        <a:fontRef idx="minor"/>
                      </wps:style>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a:noAutofit/>
                      </wps:bodyPr>
                    </wps:wsp>
                  </a:graphicData>
                </a:graphic>
              </wp:inline>
            </w:drawing>
          </mc:Choice>
          <mc:Fallback>
            <w:pict/>
          </mc:Fallback>
        </mc:AlternateContent>
      </w:r>
    </w:p>
    <w:p>
      <w:pPr>
        <w:pStyle w:val="Normal"/>
        <w:rPr/>
      </w:pPr>
      <w:r>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ERAMET</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10.2024 - 04.2025</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Category Manager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Dans le cadre d'un budget d'achat de 80 M€, avec un périmètre incluant les engins miniers, la maintenance et les pneus, j'ai assuré la gestion de la catégorie en pilotant la stratégie d'approvisionnement et les négociations fournisseurs.</w:t>
            </w:r>
            <w:r>
              <w:rPr>
                <w:rFonts w:ascii="Callibri" w:hAnsi="Callibri"/>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OFFICINE PANERAI</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11.2022 - 09.2024</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du sourcing complet du mouvement et des composants, j'ai mené l'analyse Make or Buy, les appels d'offres, la création d'un panel fournisseurs et la production de rapports stratégiques incluant les économies réalisées.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Analyse Make or Buy sur le portefeuille mouvements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Appels d'offres des pièces achetées et sous-traitées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Création d'un panel de fournisseurs pour les composants des mouvements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Rapports stratégiques incluant les savings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ascii="Open Sauce Sans Light" w:hAnsi="Open Sauce Sans Light"/>
                <w:b/>
                <w:bCs/>
                <w:color w:val="002060"/>
                <w:sz w:val="21"/>
                <w:szCs w:val="21"/>
                <w:u w:val="single"/>
              </w:rPr>
              <w:t xml:space="preserve">Outils</w:t>
            </w:r>
            <w:r>
              <w:rPr>
                <w:rFonts w:ascii="Clibri" w:hAnsi="Clibri"/>
                <w:b/>
                <w:bCs/>
                <w:color w:val="002060"/>
                <w:sz w:val="20"/>
                <w:szCs w:val="20"/>
              </w:rPr>
              <w:t xml:space="preserve"> :Microsoft Office, SAP</w:t>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ALTEN POUR ALSTOM</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10.2021 - 03.2022</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manager achats indirects</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Avec une masse d'achat de 40 MCHF couvrant les prestations intellectuelles, le CAPEX et le facility management, j'ai géré les appels d'offres indirects, élaboré la stratégie d'achats indirects et CAPEX, et dirigé fonctionnellement une analyste achats.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Gestion des appels d'offres catégories indirects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Elaboration de la stratégie achat indirect, CAPEX</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d'une analyste achat</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 CAPEX</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de la gestion des appels d'offres pour des projets de travaux neufs sur 7 sites industriels (génie civil) et du management fonctionnel de deux assistants achats, avec un objectif de réaliser 1 M€ de savings.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Gestion des appels d'offres projets travaux neufs de 7 sites industriels (lots génie civil)</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Résultats: 1M€ de savings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ALTEN POUR ARCELORMITTAL</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05.2021 - 10.2021</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Sur une masse d'achat de 160 M€, couvrant les travaux neufs et revampings, j'ai élaboré et déployé la stratégie d'achat dans les filiales, géré les contrats, renégocié les cadres de maintenance d’engins miniers, piloté le projet d'électrification de flotte et supervisé les acheteurs locaux.</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Elaboration de la stratégie achat et déploiement dans les filiales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Contract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Renégociation des contrats cadres de maintenance d’engins miniers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Chef de projet achats électrification flotte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des acheteurs en local</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MASTERIS - GROUPE SNCF</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12.2020 - 05.2021</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 ferroviaire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Avec une masse d'achat de 80 M€, j'ai géré le sourcing de matériel roulant (train, tramway, métro) pour le groupe SNCF.</w:t>
            </w:r>
            <w:r>
              <w:rPr>
                <w:rFonts w:ascii="Callibri" w:hAnsi="Callibri"/>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ALTRAN POUR AIRBUS</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05.2019 - 07.2020</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Consultant acheteur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d'un budget de 200 M€ pour la catégorie cabine d'avion (sièges, équipements d'urgence, textiles, galleys, éclairages), j'ai conduit les achats projets, la gestion des chiffrages, des pièces de rechange, le claim management et le management fonctionnel de deux assistants achats.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Achat projet: rénovation des métros de Lille (compresseur, convertisseur, tachymètres)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Claim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chiffrages achat amont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pièces de rechange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SWISS INTERNATIONAL AIRLINES</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01.2017 - 04.2019</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Personnel Navigant Commercial</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RENAULT</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09.2015 - 09.2016</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 automobile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Avec une masse d'achat de 100 M€, j'ai piloté les conversions de véhicules utilitaires légers.</w:t>
            </w:r>
            <w:r>
              <w:rPr>
                <w:rFonts w:ascii="Callibri" w:hAnsi="Callibri"/>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WORLD AND MORE</w:t>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09.2013 - 04.2014</w:t>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 alimentaire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du sourcing et de la gestion des achats de produits alimentaires, incluant la définition des besoins, le sourcing en Espagne et Turquie, et la négociation des contrats cadres.</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Définition du besoin en achat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Sourcing de produits alimentaires (Espagne, Turquie)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Analyse et renégociation des contrats cadres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 projet achat logistique pour les rétrofits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Claim Management</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des appels d'offres upgrades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Projet A220: analyse des contrats, recherche de communalités In Service Issues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Management fonctionnel de deux assistants achats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tbl>
      <w:tblPr>
        <w:tblW w:w="10200" w:type="dxa"/>
        <w:jc w:val="left"/>
        <w:tblInd w:w="0" w:type="dxa"/>
        <w:tblLayout w:type="fixed"/>
        <w:tblCellMar>
          <w:top w:w="0" w:type="dxa"/>
          <w:left w:w="2" w:type="dxa"/>
          <w:bottom w:w="57" w:type="dxa"/>
          <w:right w:w="0" w:type="dxa"/>
        </w:tblCellMar>
      </w:tblPr>
      <w:tblGrid>
        <w:gridCol w:w="4137"/>
        <w:gridCol w:w="3402"/>
        <w:gridCol w:w="2661"/>
      </w:tblGrid>
      <w:tr>
        <w:trPr>
          <w:trHeight w:val="225" w:hRule="atLeast"/>
        </w:trPr>
        <w:tc>
          <w:tcPr>
            <w:tcW w:w="4137" w:type="dxa"/>
            <w:tcBorders>
              <w:top w:val="single" w:sz="2" w:space="0" w:color="FFFFFF"/>
              <w:left w:val="single" w:sz="2" w:space="0" w:color="FFFFFF"/>
              <w:bottom w:val="single" w:sz="2" w:space="0" w:color="000000"/>
            </w:tcBorders>
          </w:tcPr>
          <w:p>
            <w:pPr>
              <w:pStyle w:val="Contenudetableau"/>
              <w:rPr>
                <w:rFonts w:ascii="Open Sauce Sans Light" w:hAnsi="Open Sauce Sans Light"/>
              </w:rPr>
            </w:pPr>
            <w:r>
              <w:rPr>
                <w:rFonts w:ascii="Open Sauce Sans Light" w:hAnsi="Open Sauce Sans Light"/>
                <w:b/>
                <w:bCs/>
                <w:color w:val="002060"/>
              </w:rPr>
              <w:t xml:space="preserve"/>
            </w:r>
          </w:p>
        </w:tc>
        <w:tc>
          <w:tcPr>
            <w:tcW w:w="3402" w:type="dxa"/>
            <w:tcBorders>
              <w:top w:val="single" w:sz="2" w:space="0" w:color="FFFFFF"/>
              <w:left w:val="single" w:sz="2" w:space="0" w:color="FFFFFF"/>
              <w:bottom w:val="single" w:sz="2" w:space="0" w:color="000000"/>
            </w:tcBorders>
          </w:tcPr>
          <w:p>
            <w:pPr>
              <w:pStyle w:val="Contenudetableau"/>
              <w:rPr>
                <w:rFonts w:ascii="Open Sauce Sans Light" w:hAnsi="Open Sauce Sans Light"/>
                <w:sz w:val="21"/>
                <w:szCs w:val="21"/>
              </w:rPr>
            </w:pPr>
            <w:r>
              <w:rPr>
                <w:rFonts w:ascii="Open Sauce Sans Light" w:hAnsi="Open Sauce Sans Light"/>
                <w:color w:val="002060"/>
                <w:sz w:val="21"/>
                <w:szCs w:val="21"/>
              </w:rPr>
              <w:t xml:space="preserve"/>
            </w:r>
          </w:p>
        </w:tc>
        <w:tc>
          <w:tcPr>
            <w:tcW w:w="2661" w:type="dxa"/>
            <w:tcBorders>
              <w:top w:val="single" w:sz="2" w:space="0" w:color="FFFFFF"/>
              <w:left w:val="single" w:sz="2" w:space="0" w:color="FFFFFF"/>
              <w:bottom w:val="single" w:sz="2" w:space="0" w:color="000000"/>
              <w:right w:val="single" w:sz="2" w:space="0" w:color="FFFFFF"/>
            </w:tcBorders>
          </w:tcPr>
          <w:p>
            <w:pPr>
              <w:pStyle w:val="Contenudetableau"/>
              <w:jc w:val="center"/>
              <w:rPr/>
            </w:pPr>
            <w:r>
              <w:rPr>
                <w:rFonts w:ascii="Open Sauce Sans Light" w:hAnsi="Open Sauce Sans Light"/>
                <w:color w:val="002060"/>
                <w:sz w:val="21"/>
                <w:szCs w:val="21"/>
              </w:rPr>
              <w:t xml:space="preserve"/>
            </w:r>
          </w:p>
        </w:tc>
      </w:tr>
    </w:tbl>
    <w:p>
      <w:pPr>
        <w:pStyle w:val="Normal"/>
        <w:rPr/>
      </w:pPr>
      <w:r>
        <w:rPr/>
      </w:r>
    </w:p>
    <w:tbl>
      <w:tblPr>
        <w:tblW w:w="10200" w:type="dxa"/>
        <w:jc w:val="left"/>
        <w:tblInd w:w="0" w:type="dxa"/>
        <w:tblLayout w:type="fixed"/>
        <w:tblCellMar>
          <w:top w:w="0" w:type="dxa"/>
          <w:left w:w="5" w:type="dxa"/>
          <w:bottom w:w="0" w:type="dxa"/>
          <w:right w:w="5" w:type="dxa"/>
        </w:tblCellMar>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u w:val="none"/>
              </w:rPr>
            </w:pPr>
            <w:r>
              <w:rPr>
                <w:rFonts w:ascii="Open Sauce Sans Light" w:hAnsi="Open Sauce Sans Light"/>
                <w:b/>
                <w:bCs/>
                <w:color w:val="002060"/>
                <w:sz w:val="21"/>
                <w:szCs w:val="21"/>
                <w:u w:val="none"/>
              </w:rPr>
              <w:t xml:space="preserve">Acheteur automobile / Consultant acheteur aéronautique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ascii="Callibri" w:hAnsi="Callibri"/>
              </w:rPr>
            </w:pPr>
            <w:r>
              <w:rPr>
                <w:rFonts w:ascii="Callibri" w:hAnsi="Callibri"/>
                <w:b w:val="false"/>
                <w:bCs w:val="false"/>
                <w:color w:val="000000"/>
                <w:sz w:val="21"/>
                <w:szCs w:val="21"/>
                <w:u w:val="none"/>
              </w:rPr>
              <w:t xml:space="preserve"/>
            </w:r>
            <w:r>
              <w:rPr>
                <w:rFonts w:ascii="Callibri" w:hAnsi="Callibri"/>
                <w:b/>
                <w:bCs/>
                <w:color w:val="002060"/>
                <w:sz w:val="21"/>
                <w:szCs w:val="21"/>
                <w:u w:val="none"/>
              </w:rPr>
              <w:t>Mission :</w:t>
            </w:r>
            <w:r>
              <w:rPr>
                <w:rFonts w:ascii="Callibri" w:hAnsi="Callibri"/>
                <w:color w:val="002060"/>
                <w:sz w:val="21"/>
                <w:szCs w:val="21"/>
                <w:u w:val="none"/>
              </w:rPr>
              <w:t xml:space="preserve"> </w:t>
            </w:r>
            <w:r>
              <w:rPr>
                <w:rFonts w:ascii="Callibri" w:hAnsi="Callibri"/>
                <w:color w:val="002060"/>
                <w:sz w:val="21"/>
                <w:szCs w:val="21"/>
              </w:rPr>
              <w:t xml:space="preserve">Responsable d'achats projets pour la conversion d'un minibus haut de gamme, incluant la gestion des appels d'offres sièges, l'audit fournisseurs, la décomposition TCO et l'optimisation des coûts logistiques, ainsi que l'analyse Make or Buy.</w:t>
            </w:r>
            <w:r>
              <w:rPr>
                <w:rFonts w:ascii="Callibri" w:hAnsi="Callibri"/>
                <w:sz w:val="21"/>
                <w:szCs w:val="21"/>
              </w:rPr>
              <w:t xml:space="preserve"/>
            </w:r>
          </w:p>
          <w:p>
            <w:pPr>
              <w:pStyle w:val="Contenudetableau"/>
              <w:numPr>
                <w:ilvl w:val="0"/>
                <w:numId w:val="5"/>
              </w:numPr>
              <w:rPr/>
            </w:pPr>
            <w:r>
              <w:rPr>
                <w:rFonts w:ascii="Callibri" w:hAnsi="Callibri"/>
                <w:color w:val="002060"/>
                <w:sz w:val="21"/>
                <w:szCs w:val="21"/>
              </w:rPr>
              <w:t xml:space="preserve">Achat projet: conversion d'un minibus haut de gamme et loisirs (habillages intérieurs)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Gestion d'appel d'offres sièges</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Audit fournisseurs: qualité, innovation - Construction du panel fournisseurs et cartographie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Sujet contremarques: décomposition TCO et optimisation coûts logistique</w:t>
            </w:r>
            <w:r>
              <w:rPr>
                <w:rFonts w:ascii="Callibri" w:hAnsi="Callibri"/>
                <w:color w:val="000000"/>
                <w:sz w:val="21"/>
                <w:szCs w:val="21"/>
              </w:rPr>
              <w:t xml:space="preserve"/>
            </w:r>
          </w:p>
          <w:p>
            <w:pPr>
              <w:pStyle w:val="Contenudetableau"/>
              <w:numPr>
                <w:ilvl w:val="0"/>
                <w:numId w:val="5"/>
              </w:numPr>
              <w:rPr/>
            </w:pPr>
            <w:r>
              <w:rPr>
                <w:rFonts w:ascii="Callibri" w:hAnsi="Callibri"/>
                <w:color w:val="002060"/>
                <w:sz w:val="21"/>
                <w:szCs w:val="21"/>
              </w:rPr>
              <w:t xml:space="preserve">Analyse Make or Buy</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tc>
      </w:tr>
    </w:tbl>
    <w:p>
      <w:pPr>
        <w:pStyle w:val="Contenudetableau"/>
        <w:rPr>
          <w:sz w:val="21"/>
          <w:szCs w:val="21"/>
        </w:rPr>
      </w:pPr>
      <w:r>
        <w:rPr>
          <w:sz w:val="21"/>
          <w:szCs w:val="21"/>
        </w:rPr>
      </w:r>
    </w:p>
    <w:p>
      <w:pPr>
        <w:pStyle w:val="Contenudetableau"/>
        <w:spacing w:before="0" w:after="120"/>
        <w:rPr/>
      </w:pPr>
      <w:r>
        <w:rPr>
          <w:rFonts w:cs="Calibri" w:ascii="Calibri" w:hAnsi="Calibri"/>
          <w:b w:val="false"/>
          <w:bCs w:val="false"/>
          <w:color w:val="000000"/>
          <w:sz w:val="21"/>
          <w:szCs w:val="21"/>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1" w:footer="214"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Open Sauce Sans Light">
    <w:charset w:val="01"/>
    <w:family w:val="roman"/>
    <w:pitch w:val="variable"/>
  </w:font>
  <w:font w:name="Callibri">
    <w:charset w:val="01"/>
    <w:family w:val="roman"/>
    <w:pitch w:val="variable"/>
  </w:font>
  <w:font w:name="Clibri">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792A83A9">
              <wp:simplePos x="0" y="0"/>
              <wp:positionH relativeFrom="page">
                <wp:posOffset>3596640</wp:posOffset>
              </wp:positionH>
              <wp:positionV relativeFrom="page">
                <wp:posOffset>9914255</wp:posOffset>
              </wp:positionV>
              <wp:extent cx="363855" cy="320675"/>
              <wp:effectExtent l="1270" t="1270" r="0" b="0"/>
              <wp:wrapNone/>
              <wp:docPr id="9"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792A83A9"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13" wp14:anchorId="792A83A9">
              <wp:simplePos x="0" y="0"/>
              <wp:positionH relativeFrom="page">
                <wp:posOffset>3596640</wp:posOffset>
              </wp:positionH>
              <wp:positionV relativeFrom="page">
                <wp:posOffset>9914255</wp:posOffset>
              </wp:positionV>
              <wp:extent cx="363855" cy="320675"/>
              <wp:effectExtent l="1270" t="1270" r="0" b="0"/>
              <wp:wrapNone/>
              <wp:docPr id="10"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upright="1">
                      <a:noAutofit/>
                    </wps:bodyPr>
                  </wps:wsp>
                </a:graphicData>
              </a:graphic>
            </wp:anchor>
          </w:drawing>
        </mc:Choice>
        <mc:Fallback>
          <w:pict>
            <v:shape id="shape_0" ID="Organigramme : Alternative 1" path="l-2147483647,-2147483647l-2147483636,-2147483635l-2147483646,0l-2147483647,-2147483647l-2147483634,-2147483633l-2147483637,-2147483645l-2147483647,-2147483647xe" fillcolor="#02466d" stroked="f" o:allowincell="f" style="position:absolute;margin-left:283.2pt;margin-top:780.65pt;width:28.6pt;height:25.2pt;mso-wrap-style:square;v-text-anchor:bottom;mso-position-horizontal-relative:page;mso-position-vertical-relative:page" wp14:anchorId="792A83A9"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15">
          <wp:simplePos x="0" y="0"/>
          <wp:positionH relativeFrom="column">
            <wp:posOffset>192405</wp:posOffset>
          </wp:positionH>
          <wp:positionV relativeFrom="paragraph">
            <wp:posOffset>-24130</wp:posOffset>
          </wp:positionV>
          <wp:extent cx="1019810" cy="103251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color w:val="002060"/>
        <w:sz w:val="34"/>
        <w:szCs w:val="34"/>
      </w:rPr>
      <w:t xml:space="preserve">CPE</w:t>
    </w:r>
  </w:p>
  <w:p>
    <w:pPr>
      <w:pStyle w:val="Normal"/>
      <w:jc w:val="right"/>
      <w:rPr>
        <w:b/>
        <w:bCs/>
        <w:color w:val="002060"/>
        <w:sz w:val="40"/>
        <w:szCs w:val="40"/>
      </w:rPr>
    </w:pPr>
    <w:r>
      <w:rPr>
        <w:b/>
        <w:bCs/>
        <w:color w:val="002060"/>
        <w:sz w:val="40"/>
        <w:szCs w:val="40"/>
      </w:rPr>
      <w:t xml:space="preserve">Category Manager</w:t>
    </w:r>
  </w:p>
  <w:p>
    <w:pPr>
      <w:pStyle w:val="Normal"/>
      <w:jc w:val="right"/>
      <w:rPr>
        <w:color w:val="002060"/>
        <w:sz w:val="34"/>
        <w:szCs w:val="34"/>
      </w:rPr>
    </w:pPr>
    <w:r>
      <w:rPr>
        <w:color w:val="002060"/>
        <w:sz w:val="34"/>
        <w:szCs w:val="34"/>
      </w:rPr>
      <w:t xml:space="preserve">9 ans d'expériences</w:t>
    </w:r>
  </w:p>
  <w:p>
    <w:pPr>
      <w:pStyle w:val="Normal"/>
      <w:jc w:val="right"/>
      <w:rPr>
        <w:color w:val="002060"/>
        <w:sz w:val="34"/>
        <w:szCs w:val="34"/>
      </w:rPr>
    </w:pPr>
    <w:r>
      <w:rPr>
        <w:color w:val="002060"/>
        <w:sz w:val="34"/>
        <w:szCs w:val="3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15">
          <wp:simplePos x="0" y="0"/>
          <wp:positionH relativeFrom="column">
            <wp:posOffset>192405</wp:posOffset>
          </wp:positionH>
          <wp:positionV relativeFrom="paragraph">
            <wp:posOffset>-24130</wp:posOffset>
          </wp:positionV>
          <wp:extent cx="1019810" cy="103251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color w:val="002060"/>
        <w:sz w:val="34"/>
        <w:szCs w:val="34"/>
      </w:rPr>
      <w:t xml:space="preserve">CPE</w:t>
    </w:r>
  </w:p>
  <w:p>
    <w:pPr>
      <w:pStyle w:val="Normal"/>
      <w:jc w:val="right"/>
      <w:rPr>
        <w:b/>
        <w:bCs/>
        <w:color w:val="002060"/>
        <w:sz w:val="40"/>
        <w:szCs w:val="40"/>
      </w:rPr>
    </w:pPr>
    <w:r>
      <w:rPr>
        <w:b/>
        <w:bCs/>
        <w:color w:val="002060"/>
        <w:sz w:val="40"/>
        <w:szCs w:val="40"/>
      </w:rPr>
      <w:t xml:space="preserve">Category Manager</w:t>
    </w:r>
  </w:p>
  <w:p>
    <w:pPr>
      <w:pStyle w:val="Normal"/>
      <w:jc w:val="right"/>
      <w:rPr>
        <w:color w:val="002060"/>
        <w:sz w:val="34"/>
        <w:szCs w:val="34"/>
      </w:rPr>
    </w:pPr>
    <w:r>
      <w:rPr>
        <w:color w:val="002060"/>
        <w:sz w:val="34"/>
        <w:szCs w:val="34"/>
      </w:rPr>
      <w:t xml:space="preserve">9 ans d'expériences</w:t>
    </w:r>
  </w:p>
  <w:p>
    <w:pPr>
      <w:pStyle w:val="Normal"/>
      <w:jc w:val="right"/>
      <w:rPr>
        <w:color w:val="002060"/>
        <w:sz w:val="34"/>
        <w:szCs w:val="34"/>
      </w:rPr>
    </w:pPr>
    <w:r>
      <w:rPr>
        <w:color w:val="002060"/>
        <w:sz w:val="34"/>
        <w:szCs w:val="3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5">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6">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571"/>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fr-FR" w:eastAsia="fr-FR" w:bidi="ar-SA"/>
    </w:rPr>
  </w:style>
  <w:style w:type="paragraph" w:styleId="Heading1">
    <w:name w:val="Heading 1"/>
    <w:basedOn w:val="Normal"/>
    <w:next w:val="Normal"/>
    <w:link w:val="Titre1Car"/>
    <w:uiPriority w:val="9"/>
    <w:qFormat/>
    <w:rsid w:val="00cf457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f457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f457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f457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f457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f45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f45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f457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f457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cf4571"/>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f4571"/>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f4571"/>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f4571"/>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f4571"/>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f457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f457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f457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f457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f4571"/>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f45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f4571"/>
    <w:rPr>
      <w:i/>
      <w:iCs/>
      <w:color w:themeColor="text1" w:themeTint="bf" w:val="404040"/>
    </w:rPr>
  </w:style>
  <w:style w:type="character" w:styleId="IntenseEmphasis">
    <w:name w:val="Intense Emphasis"/>
    <w:basedOn w:val="DefaultParagraphFont"/>
    <w:uiPriority w:val="21"/>
    <w:qFormat/>
    <w:rsid w:val="00cf4571"/>
    <w:rPr>
      <w:i/>
      <w:iCs/>
      <w:color w:themeColor="accent1" w:themeShade="bf" w:val="2F5496"/>
    </w:rPr>
  </w:style>
  <w:style w:type="character" w:styleId="CitationintenseCar" w:customStyle="1">
    <w:name w:val="Citation intense Car"/>
    <w:basedOn w:val="DefaultParagraphFont"/>
    <w:link w:val="IntenseQuote"/>
    <w:uiPriority w:val="30"/>
    <w:qFormat/>
    <w:rsid w:val="00cf4571"/>
    <w:rPr>
      <w:i/>
      <w:iCs/>
      <w:color w:themeColor="accent1" w:themeShade="bf" w:val="2F5496"/>
    </w:rPr>
  </w:style>
  <w:style w:type="character" w:styleId="IntenseReference">
    <w:name w:val="Intense Reference"/>
    <w:basedOn w:val="DefaultParagraphFont"/>
    <w:uiPriority w:val="32"/>
    <w:qFormat/>
    <w:rsid w:val="00cf4571"/>
    <w:rPr>
      <w:b/>
      <w:bCs/>
      <w:smallCaps/>
      <w:color w:themeColor="accent1" w:themeShade="bf" w:val="2F5496"/>
      <w:spacing w:val="5"/>
    </w:rPr>
  </w:style>
  <w:style w:type="character" w:styleId="PieddepageCar" w:customStyle="1">
    <w:name w:val="Pied de page Car"/>
    <w:basedOn w:val="DefaultParagraphFont"/>
    <w:uiPriority w:val="99"/>
    <w:qFormat/>
    <w:rsid w:val="00cf4571"/>
    <w:rPr>
      <w:rFonts w:ascii="Times New Roman" w:hAnsi="Times New Roman" w:eastAsia="Times New Roman" w:cs="Times New Roman"/>
      <w:sz w:val="24"/>
      <w:szCs w:val="24"/>
      <w:lang w:eastAsia="fr-FR"/>
    </w:rPr>
  </w:style>
  <w:style w:type="character" w:styleId="Hyperlink">
    <w:name w:val="Hyperlink"/>
    <w:uiPriority w:val="99"/>
    <w:rsid w:val="00cf4571"/>
    <w:rPr>
      <w:color w:val="0000FF"/>
      <w:u w:val="single"/>
    </w:rPr>
  </w:style>
  <w:style w:type="character" w:styleId="CorpsdetexteCar" w:customStyle="1">
    <w:name w:val="Corps de texte Car"/>
    <w:qFormat/>
    <w:rsid w:val="00cf4571"/>
    <w:rPr>
      <w:sz w:val="24"/>
      <w:szCs w:val="24"/>
    </w:rPr>
  </w:style>
  <w:style w:type="character" w:styleId="CorpsdetexteCar1" w:customStyle="1">
    <w:name w:val="Corps de texte Car1"/>
    <w:basedOn w:val="DefaultParagraphFont"/>
    <w:uiPriority w:val="99"/>
    <w:semiHidden/>
    <w:qFormat/>
    <w:rsid w:val="00cf4571"/>
    <w:rPr>
      <w:rFonts w:ascii="Times New Roman" w:hAnsi="Times New Roman" w:eastAsia="Times New Roman" w:cs="Times New Roman"/>
      <w:sz w:val="24"/>
      <w:szCs w:val="24"/>
      <w:lang w:eastAsia="fr-FR"/>
    </w:rPr>
  </w:style>
  <w:style w:type="character" w:styleId="En-tteCar" w:customStyle="1">
    <w:name w:val="En-tête Car"/>
    <w:basedOn w:val="DefaultParagraphFont"/>
    <w:uiPriority w:val="99"/>
    <w:qFormat/>
    <w:rsid w:val="00cf4571"/>
    <w:rPr>
      <w:rFonts w:ascii="Times New Roman" w:hAnsi="Times New Roman" w:eastAsia="Times New Roman" w:cs="Times New Roman"/>
      <w:sz w:val="24"/>
      <w:szCs w:val="24"/>
      <w:lang w:eastAsia="fr-FR"/>
    </w:rPr>
  </w:style>
  <w:style w:type="character" w:styleId="Puces">
    <w:name w:val="Puces"/>
    <w:qFormat/>
    <w:rPr>
      <w:rFonts w:ascii="Calibri" w:hAnsi="Calibri" w:eastAsia="OpenSymbol" w:cs="OpenSymbol"/>
      <w:sz w:val="22"/>
      <w:szCs w:val="22"/>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cf4571"/>
    <w:pPr>
      <w:suppressAutoHyphens w:val="true"/>
      <w:overflowPunct w:val="false"/>
      <w:spacing w:before="0" w:after="120"/>
    </w:pPr>
    <w:rPr>
      <w:rFonts w:ascii="Calibri" w:hAnsi="Calibri" w:eastAsia="Calibri" w:cs="" w:asciiTheme="minorHAnsi" w:cstheme="minorBidi" w:eastAsiaTheme="minorHAnsi" w:hAnsiTheme="minorHAnsi"/>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cf4571"/>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f45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f4571"/>
    <w:pPr>
      <w:spacing w:before="160" w:after="0"/>
      <w:jc w:val="center"/>
    </w:pPr>
    <w:rPr>
      <w:i/>
      <w:iCs/>
      <w:color w:themeColor="text1" w:themeTint="bf" w:val="404040"/>
    </w:rPr>
  </w:style>
  <w:style w:type="paragraph" w:styleId="ListParagraph">
    <w:name w:val="List Paragraph"/>
    <w:basedOn w:val="Normal"/>
    <w:uiPriority w:val="34"/>
    <w:qFormat/>
    <w:rsid w:val="00cf4571"/>
    <w:pPr>
      <w:spacing w:before="0" w:after="0"/>
      <w:ind w:left="720"/>
      <w:contextualSpacing/>
    </w:pPr>
    <w:rPr/>
  </w:style>
  <w:style w:type="paragraph" w:styleId="IntenseQuote">
    <w:name w:val="Intense Quote"/>
    <w:basedOn w:val="Normal"/>
    <w:next w:val="Normal"/>
    <w:link w:val="CitationintenseCar"/>
    <w:uiPriority w:val="30"/>
    <w:qFormat/>
    <w:rsid w:val="00cf457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En-tteetpieddepage">
    <w:name w:val="En-tête et pied de page"/>
    <w:basedOn w:val="Normal"/>
    <w:qFormat/>
    <w:pPr/>
    <w:rPr/>
  </w:style>
  <w:style w:type="paragraph" w:styleId="Footer">
    <w:name w:val="Footer"/>
    <w:basedOn w:val="Normal"/>
    <w:link w:val="PieddepageCar"/>
    <w:uiPriority w:val="99"/>
    <w:rsid w:val="00cf4571"/>
    <w:pPr>
      <w:tabs>
        <w:tab w:val="clear" w:pos="708"/>
        <w:tab w:val="center" w:pos="4536" w:leader="none"/>
        <w:tab w:val="right" w:pos="9072" w:leader="none"/>
      </w:tabs>
    </w:pPr>
    <w:rPr/>
  </w:style>
  <w:style w:type="paragraph" w:styleId="Contenudecadre" w:customStyle="1">
    <w:name w:val="Contenu de cadre"/>
    <w:basedOn w:val="Normal"/>
    <w:qFormat/>
    <w:rsid w:val="00cf4571"/>
    <w:pPr>
      <w:suppressAutoHyphens w:val="true"/>
      <w:overflowPunct w:val="false"/>
    </w:pPr>
    <w:rPr/>
  </w:style>
  <w:style w:type="paragraph" w:styleId="Header">
    <w:name w:val="Header"/>
    <w:basedOn w:val="Normal"/>
    <w:link w:val="En-tteCar"/>
    <w:uiPriority w:val="99"/>
    <w:unhideWhenUsed/>
    <w:rsid w:val="00cf4571"/>
    <w:pPr>
      <w:tabs>
        <w:tab w:val="clear" w:pos="708"/>
        <w:tab w:val="center" w:pos="4536" w:leader="none"/>
        <w:tab w:val="right" w:pos="9072" w:leader="none"/>
      </w:tabs>
    </w:pPr>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621</TotalTime>
  <Application>LibreOffice/24.2.7.2$Linux_X86_64 LibreOffice_project/420$Build-2</Application>
  <AppVersion>15.0000</AppVersion>
  <Pages>1</Pages>
  <Words>197</Words>
  <Characters>1080</Characters>
  <CharactersWithSpaces>1230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2025-12-10T11:43:00Z</dcterms:created>
  <dc:creator>Lucas Buixuanhy</dc:creator>
  <dc:description/>
  <dc:language>fr-FR</dc:language>
  <cp:lastModifiedBy/>
  <dcterms:modified xsi:type="dcterms:W3CDTF">2026-01-07T10:28:39Z</dcterms:modified>
  <cp:revision>256</cp:revision>
  <dc:subject/>
  <dc:title/>
  <dc:identifier/>
</cp:coreProperties>
</file>

<file path=docProps/custom.xml><?xml version="1.0" encoding="utf-8"?>
<Properties xmlns="http://schemas.openxmlformats.org/officeDocument/2006/custom-properties" xmlns:vt="http://schemas.openxmlformats.org/officeDocument/2006/docPropsVTypes"/>
</file>