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du sourcing et gestion des appels d’offres pour des achats directs et indirects dans les secteurs de la sidérurgie, du ferroviaire, de l’aéronautique, de l’automobile et de l’alimentaire.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Négociation internationale et gestion de contrats cadres, incluant le droit des contrats et le renégociation de contrats de maintenance et d’équipements industriels.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des risques fournisseurs et mise en place de stratégies d’évaluation et de qualification des fournisseurs, incluant la création de panels et la cartographie des fournisseurs.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Définition et mise en œuvre de stratégies d’achat indirect, CAPEX et durable, avec un suivi des économies réalisées (savings) et des indicateurs de performance.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 projets d’achat complexes (make‑or‑buy, TCO, optimisation des coûts logistiques) et coordination fonctionnelle d’équipes d’acheteurs et d’assistants achats.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transversales, encadrement d’analystes et d’assistants achats, et conduite de projets de transformation industrielle.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Supply Chain Management, incluant la planification des besoins, la logistique d’approvisionnement et le claim management.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Audit fournisseurs (qualité, innovation) et construction de panels fournisseurs adaptés aux exigences techniques et de performance.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Maîtrise de plusieurs langues (anglais C1, espagnol C2, allemand B2, portugais B1) facilitant les négociations et la communication internationale.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>
          <w:sz w:val="20"/>
          <w:szCs w:val="20"/>
        </w:rPr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Microsoft Office:</w:t>
      </w:r>
      <w:r>
        <w:rPr>
          <w:rFonts w:cs="Calibri" w:ascii="Calibri" w:hAnsi="Calibri"/>
          <w:color w:val="002060"/>
          <w:sz w:val="20"/>
          <w:szCs w:val="20"/>
        </w:rPr>
        <w:t xml:space="preserve"> Word, Excel, PowerPoint, Outlook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>
          <w:sz w:val="20"/>
          <w:szCs w:val="20"/>
        </w:rPr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SAP (ERP):</w:t>
      </w:r>
      <w:r>
        <w:rPr>
          <w:rFonts w:cs="Calibri" w:ascii="Calibri" w:hAnsi="Calibri"/>
          <w:color w:val="002060"/>
          <w:sz w:val="20"/>
          <w:szCs w:val="20"/>
        </w:rPr>
        <w:t xml:space="preserve"> SAP ECC / SAP S/4HANA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minier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11.2022 - 09.2024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l'approvisionnement complet des mouvements et de leurs composants, zone Neuchâtel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achetées et sous-traitées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d'un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 / 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la fonction achats indirects d'un budget de 40 MCHF, zone Villeneuve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d'une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05.2021 - 10.2021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d'achats de travaux neufs et de revampings d'un montant de 160 M€, zone Dunkerque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10.2024 - 04.2025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d'un portefeuille d'achats de 80 M€ relatif aux engins miniers, à la maintenance et aux pneus, zone Paris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09.2013 - 04.2014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achats de produits alimentaires, zone Wissous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INT. AIRLINES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01.2017 - 04.2019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du personnel navigant commercial, zone Genève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09.2015 - 09.2016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d'achats pour la conversion de véhicules utilitaires légers d'un montant de 100 M€, zone Le Plessis Robinson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05.2019 - 07.2020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d'achats de 200 M€ pour les équipements de cabine d'avion, zone Blagnac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- GROUPE SNCF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12.2020 - 05.2021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d'achats de matériel roulant de train, tramway et métro d'un montant de 80 M€, zone nationale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Acheteur industriel senior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Acheteur industriel senior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Application>LibreOffice/24.2.7.2$Linux_X86_64 LibreOffice_project/420$Build-2</Application>
  <AppVersion>15.0000</AppVersion>
  <Pages>1</Pages>
  <Words>198</Words>
  <Characters>1081</Characters>
  <CharactersWithSpaces>1231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2026-01-07T10:39:56Z</dcterms:modified>
  <cp:revision>257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