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9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66AFEDD7">
                <wp:extent cx="6494145" cy="309880"/>
                <wp:effectExtent l="0" t="0" r="20955" b="13970"/>
                <wp:docPr id="1001" name="Rectangle : coins arrondis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DOMAINES DE COMPÉTENCES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cs="Calibri" w:ascii="Calibri" w:hAnsi="Calibri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Pilotage de projets de sourcing et mise en place de stratégies d'achats directs et indirects pour des volumes allant jusqu'à 160 M€.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Conduite d'appels d'offres, négociation internationale et gestion contractuelle dans les secteurs sidérurgie, ferroviaire, aéronautique, automobile et agroalimentaire.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Analyse de risques fournisseurs, évaluation Make‑or‑Buy et optimisation du coût total de possession (TCO).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Management fonctionnel d’équipes d’analystes et d’assistants achats, coordination multi‑sites.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Élaboration de rapports stratégiques incluant les économies réalisées (savings) et suivi de la performance des fournisseurs.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Mise en œuvre d’achats durables et de pratiques de supply‑chain responsable.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Gestion de projets CAPEX, de travaux neufs et de revampings, incluant la planification et le suivi logistique.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Maîtrise des langues (anglais C1, espagnol C2, allemand B2, portugais B1) facilitant les négociations internationales.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0644434D">
                <wp:extent cx="6494145" cy="309880"/>
                <wp:effectExtent l="0" t="0" r="20955" b="13970"/>
                <wp:docPr id="1002" name="Rectangle : coins arrondis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OUTILS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>
          <w:sz w:val="20"/>
          <w:szCs w:val="20"/>
        </w:rPr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Suite Microsoft Office:</w:t>
      </w:r>
      <w:r>
        <w:rPr>
          <w:rFonts w:cs="Calibri" w:ascii="Calibri" w:hAnsi="Calibri"/>
          <w:color w:val="002060"/>
          <w:sz w:val="20"/>
          <w:szCs w:val="20"/>
        </w:rPr>
        <w:t xml:space="preserve"> W, o, r, d, ,,  , E, x, c, e, l, ,,  , P, o, w, e, r, P, o, i, n, t, ,,  , O, u, t, l, o, o, k,  , (, n, i, v, e, a, u,  , a, v, a, n, c, é, )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>
          <w:sz w:val="20"/>
          <w:szCs w:val="20"/>
        </w:rPr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ERP SAP:</w:t>
      </w:r>
      <w:r>
        <w:rPr>
          <w:rFonts w:cs="Calibri" w:ascii="Calibri" w:hAnsi="Calibri"/>
          <w:color w:val="002060"/>
          <w:sz w:val="20"/>
          <w:szCs w:val="20"/>
        </w:rPr>
        <w:t xml:space="preserve"> S, A, P,  , (, n, i, v, e, a, u,  , a, v, a, n, c, é, )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03D68D8F">
                <wp:extent cx="6494145" cy="309880"/>
                <wp:effectExtent l="0" t="0" r="20955" b="13970"/>
                <wp:docPr id="1003" name="Rectangle : coins arrondis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SECTEURS D’ACTIVITÉ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spacing w:before="0" w:after="19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sidérurgie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ferroviaire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aéronautique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automobile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alimentaire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1134" w:leader="none"/>
        </w:tabs>
        <w:spacing w:before="60" w:after="0"/>
        <w:ind w:hanging="0" w:left="1134"/>
        <w:rPr>
          <w:rFonts w:ascii="Calibri" w:hAnsi="Calibri" w:cs="Calibri"/>
          <w:color w:val="000000"/>
        </w:rPr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59015D59">
                <wp:extent cx="6494145" cy="309880"/>
                <wp:effectExtent l="0" t="0" r="20955" b="13970"/>
                <wp:docPr id="1004" name="Rectangle : coins arrondis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DIPLÔMES / FORMATION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Master en Affaires Internationales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Université Paris Nanterre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,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Nanterre</w:t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2014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Master Management global des achats et de la chaîne logistique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Université Paris Saclay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,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Saclay</w:t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2016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  <w:r>
        <w:rPr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2466F43A">
                <wp:extent cx="6494145" cy="309880"/>
                <wp:effectExtent l="0" t="0" r="20955" b="13970"/>
                <wp:docPr id="1005" name="Rectangle : coins arrondis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LANGUES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Anglais :  </w:t>
        <w:tab/>
        <w:t xml:space="preserve">courant C1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Espagnol :  </w:t>
        <w:tab/>
        <w:t xml:space="preserve">avancé C2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Allemand :  </w:t>
        <w:tab/>
        <w:t xml:space="preserve">intermédiaire B2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Portugais :  </w:t>
        <w:tab/>
        <w:t xml:space="preserve">intermédiaire B1</w:t>
        <w:tab/>
      </w:r>
    </w:p>
    <w:p>
      <w:pPr>
        <w:pStyle w:val="Normal"/>
        <w:tabs>
          <w:tab w:val="clear" w:pos="708"/>
          <w:tab w:val="left" w:pos="1134" w:leader="none"/>
        </w:tabs>
        <w:spacing w:before="60" w:after="0"/>
        <w:ind w:hanging="567" w:left="1134"/>
        <w:jc w:val="left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1CB42732">
                <wp:extent cx="6494145" cy="309880"/>
                <wp:effectExtent l="0" t="0" r="20955" b="13970"/>
                <wp:docPr id="1006" name="Rectangle : coins arrondis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EXPÉRIENCES PROFESSIONNELLES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/>
      </w:pPr>
      <w:r>
        <w:rPr/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1"/>
        <w:gridCol w:w="2662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ERAMET</w:t>
            </w:r>
          </w:p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10.2024 - 04.2025</w:t>
            </w:r>
          </w:p>
        </w:tc>
        <w:tc>
          <w:tcPr>
            <w:tcW w:w="2662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Category Manager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1"/>
        <w:gridCol w:w="2662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OFFICINE PANERAI</w:t>
            </w:r>
          </w:p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11.2022 - 09.2024</w:t>
            </w:r>
          </w:p>
        </w:tc>
        <w:tc>
          <w:tcPr>
            <w:tcW w:w="2662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 an 10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Make or Buy sur le portefeuille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Appels d'offres des pièces achetées et sous-traitées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Création d'un panel de fournisseurs pour les composants des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Rapports stratégiques y compris savings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1"/>
        <w:gridCol w:w="2662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ALTEN POUR ALSTOM</w:t>
            </w:r>
          </w:p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10.2021 - 03.2022</w:t>
            </w:r>
          </w:p>
        </w:tc>
        <w:tc>
          <w:tcPr>
            <w:tcW w:w="2662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manager achats indirects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 catégories indirects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Elaboration de la stratégie achat indirect, CAPEX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d'une analyste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1"/>
        <w:gridCol w:w="2662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ALTEN POUR ALSTOM</w:t>
            </w:r>
          </w:p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10.2021 - 03.2022</w:t>
            </w:r>
          </w:p>
        </w:tc>
        <w:tc>
          <w:tcPr>
            <w:tcW w:w="2662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 CAPEX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 projets travaux neufs de 7 sites industriels (lots génie civil)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1"/>
        <w:gridCol w:w="2662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ALTEN POUR ARCELORMITTAL</w:t>
            </w:r>
          </w:p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05.2021 - 10.2021</w:t>
            </w:r>
          </w:p>
        </w:tc>
        <w:tc>
          <w:tcPr>
            <w:tcW w:w="2662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achats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Elaboration de la stratégie achat et déploiement dans les filiales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Contract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Renégociation des contrats cadres de maintenance d’engins miniers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Chef de projet achats électrification flotte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des acheteurs en local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1"/>
        <w:gridCol w:w="2662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MASTERIS - GROUPE SNCF</w:t>
            </w:r>
          </w:p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12.2020 - 05.2021</w:t>
            </w:r>
          </w:p>
        </w:tc>
        <w:tc>
          <w:tcPr>
            <w:tcW w:w="2662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 ferroviaire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1"/>
        <w:gridCol w:w="2662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ALTRAN POUR AIRBUS</w:t>
            </w:r>
          </w:p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05.2019 - 07.2020</w:t>
            </w:r>
          </w:p>
        </w:tc>
        <w:tc>
          <w:tcPr>
            <w:tcW w:w="2662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 an 3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achats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Achat projet: rénovation des métros de Lille (compresseur, convertisseur, tachymètres)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Claim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chiffrages achat amont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pièces de rechange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1"/>
        <w:gridCol w:w="2662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SWISS INT. AIRLINES</w:t>
            </w:r>
          </w:p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01.2017 - 04.2019</w:t>
            </w:r>
          </w:p>
        </w:tc>
        <w:tc>
          <w:tcPr>
            <w:tcW w:w="2662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2 ans 4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Personnel Navigant Commercial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1"/>
        <w:gridCol w:w="2662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RENAULT</w:t>
            </w:r>
          </w:p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09.2015 - 09.2016</w:t>
            </w:r>
          </w:p>
        </w:tc>
        <w:tc>
          <w:tcPr>
            <w:tcW w:w="2662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 an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1"/>
        <w:gridCol w:w="2662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WORLD AND MORE</w:t>
            </w:r>
          </w:p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09.2013 - 04.2014</w:t>
            </w:r>
          </w:p>
        </w:tc>
        <w:tc>
          <w:tcPr>
            <w:tcW w:w="2662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7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 alimentaire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Définition du besoin en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Sourcing de produits alimentaires (Espagne, Turquie)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et renégociation des contrats cadres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 projet achat logistique pour les rétrofits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Claim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 upgrades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Projet A220: analyse des contrats, recherche de communalités In Service Issues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1"/>
        <w:gridCol w:w="2662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/>
            </w:r>
          </w:p>
        </w:tc>
        <w:tc>
          <w:tcPr>
            <w:tcW w:w="3401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  <w:tc>
          <w:tcPr>
            <w:tcW w:w="2662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 automobile / Consultant acheteur aéronautique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Achat projet: conversion d'un minibus haut de gamme et loisirs (habillages intérieurs)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d'appel d'offres sièges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Audit fournisseurs: qualité, innovation - Construction du panel fournisseurs et cartographie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Sujet contremarques: décomposition TCO et optimisation coûts logistique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Make or Buy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09" w:right="748" w:gutter="0" w:header="283" w:top="851" w:footer="214" w:bottom="12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 Sauce Sans Light">
    <w:charset w:val="01"/>
    <w:family w:val="roman"/>
    <w:pitch w:val="variable"/>
  </w:font>
  <w:font w:name="Callibri">
    <w:charset w:val="01"/>
    <w:family w:val="roman"/>
    <w:pitch w:val="variable"/>
  </w:font>
  <w:font w:name="Clibri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9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76" coordsize="21600,21600" o:spt="176" path="m,3600qy@5@6l@0,qx@7@5l21600@1qy@8@9l3600,21600qx@6@8xe">
              <v:stroke joinstyle="miter"/>
              <v:formulas>
                <v:f eqn="sum width 0 3600"/>
                <v:f eqn="sum height 0 3600"/>
                <v:f eqn="prod 3600 2929 10000"/>
                <v:f eqn="sum width 0 @2"/>
                <v:f eqn="sum height 0 @2"/>
                <v:f eqn="sum 3600 0 0"/>
                <v:f eqn="sum 0 3600 3600"/>
                <v:f eqn="sum 3600 @0 0"/>
                <v:f eqn="sum 0 21600 3600"/>
                <v:f eqn="sum 3600 @1 0"/>
              </v:formulas>
              <v:path gradientshapeok="t" o:connecttype="rect" textboxrect="@2,@2,@3,@4"/>
            </v:shapetype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10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7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 xml:space="preserve">CPE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 xml:space="preserve">Category Manager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 xml:space="preserve">9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8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 xml:space="preserve">CPE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 xml:space="preserve">Category Manager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 xml:space="preserve">9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1068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2"/>
        <w:szCs w:val="22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22"/>
        <w:szCs w:val="22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2"/>
        <w:szCs w:val="22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2"/>
        <w:szCs w:val="22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2"/>
        <w:szCs w:val="22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2"/>
        <w:szCs w:val="22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2"/>
        <w:szCs w:val="22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2"/>
        <w:szCs w:val="22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6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4571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fr-FR" w:eastAsia="fr-FR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cf457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cf457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cf457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cf457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cf457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cf457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cf457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cf4571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cf4571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accent1" w:themeShade="bf" w:val="2F5496"/>
    </w:rPr>
  </w:style>
  <w:style w:type="character" w:styleId="Titre5Car" w:customStyle="1">
    <w:name w:val="Titre 5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</w:rPr>
  </w:style>
  <w:style w:type="character" w:styleId="Titre6Car" w:customStyle="1">
    <w:name w:val="Titre 6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cf457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cf457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cf457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f4571"/>
    <w:rPr>
      <w:i/>
      <w:iCs/>
      <w:color w:themeColor="accent1" w:themeShade="bf" w:val="2F5496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cf457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f4571"/>
    <w:rPr>
      <w:b/>
      <w:bCs/>
      <w:smallCaps/>
      <w:color w:themeColor="accent1" w:themeShade="bf" w:val="2F5496"/>
      <w:spacing w:val="5"/>
    </w:rPr>
  </w:style>
  <w:style w:type="character" w:styleId="PieddepageCar" w:customStyle="1">
    <w:name w:val="Pied de pag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Hyperlink">
    <w:name w:val="Hyperlink"/>
    <w:uiPriority w:val="99"/>
    <w:rsid w:val="00cf4571"/>
    <w:rPr>
      <w:color w:val="0000FF"/>
      <w:u w:val="single"/>
    </w:rPr>
  </w:style>
  <w:style w:type="character" w:styleId="CorpsdetexteCar" w:customStyle="1">
    <w:name w:val="Corps de texte Car"/>
    <w:qFormat/>
    <w:rsid w:val="00cf4571"/>
    <w:rPr>
      <w:sz w:val="24"/>
      <w:szCs w:val="24"/>
    </w:rPr>
  </w:style>
  <w:style w:type="character" w:styleId="CorpsdetexteCar1" w:customStyle="1">
    <w:name w:val="Corps de texte Car1"/>
    <w:basedOn w:val="DefaultParagraphFont"/>
    <w:uiPriority w:val="99"/>
    <w:semiHidden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En-tteCar" w:customStyle="1">
    <w:name w:val="En-têt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Puces">
    <w:name w:val="Puces"/>
    <w:qFormat/>
    <w:rPr>
      <w:rFonts w:ascii="Calibri" w:hAnsi="Calibri" w:eastAsia="OpenSymbol" w:cs="OpenSymbol"/>
      <w:sz w:val="22"/>
      <w:szCs w:val="22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sdetexteCar"/>
    <w:rsid w:val="00cf4571"/>
    <w:pPr>
      <w:suppressAutoHyphens w:val="true"/>
      <w:overflowPunct w:val="true"/>
      <w:spacing w:before="0" w:after="120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reCar"/>
    <w:uiPriority w:val="10"/>
    <w:qFormat/>
    <w:rsid w:val="00cf4571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cf457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cf4571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f4571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cf4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En-tteetpieddepage">
    <w:name w:val="En-tête et pied de page"/>
    <w:basedOn w:val="Normal"/>
    <w:qFormat/>
    <w:pPr/>
    <w:rPr/>
  </w:style>
  <w:style w:type="paragraph" w:styleId="Footer">
    <w:name w:val="Footer"/>
    <w:basedOn w:val="Normal"/>
    <w:link w:val="PieddepageCar"/>
    <w:uiPriority w:val="99"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ontenudecadre" w:customStyle="1">
    <w:name w:val="Contenu de cadre"/>
    <w:basedOn w:val="Normal"/>
    <w:qFormat/>
    <w:rsid w:val="00cf4571"/>
    <w:pPr>
      <w:suppressAutoHyphens w:val="true"/>
      <w:overflowPunct w:val="true"/>
    </w:pPr>
    <w:rPr/>
  </w:style>
  <w:style w:type="paragraph" w:styleId="Header">
    <w:name w:val="Header"/>
    <w:basedOn w:val="Normal"/>
    <w:link w:val="En-tteCar"/>
    <w:uiPriority w:val="99"/>
    <w:unhideWhenUsed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621</TotalTime>
  <Application>LibreOffice/24.2.7.2$Linux_X86_64 LibreOffice_project/420$Build-2</Application>
  <AppVersion>15.0000</AppVersion>
  <Pages>1</Pages>
  <Words>198</Words>
  <Characters>1081</Characters>
  <CharactersWithSpaces>1231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2025-12-10T11:43:00Z</dcterms:created>
  <dc:creator>Lucas Buixuanhy</dc:creator>
  <dc:description/>
  <dc:language>fr-FR</dc:language>
  <cp:lastModifiedBy/>
  <dcterms:modified xsi:type="dcterms:W3CDTF">2026-01-07T10:39:56Z</dcterms:modified>
  <cp:revision>257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