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du sourcing et mise en place de panels fournisseurs pour les composants critiques.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renégociation de contrats cadres, notamment dans les secteurs sidérurgie, ferroviaire, aéronautique et automobile.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du droit des contrats appliqué aux achats directs et indirects.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élaboration de stratégies d’atténuation.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complète de la chaîne d'approvisionnement, incluant le make‑or‑buy, le claim management et le suivi des savings.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Développement d’achats durables et intégration de critères RSE dans les processus d’achat.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Conception et gestion d’appels d’offres pour des projets CAPEX, travaux neufs et services de facility management.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de stratégies d’achats indirects et de plans d’économies (savings) atteignant plusieurs millions d’euros.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achats (analystes, assistants) et coordination transversale.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d’achat complexes (conversion de véhicules, rénovation de cabines d’avion, métros, matériel roulant).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stratégique et reporting des performances achats, incluant les indicateurs de savings et de performance fournisseur.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Utilisation multilingue (anglais C1, espagnol C2, allemand B2, portugais B1) pour négocier et collaborer avec des fournisseurs internationaux.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 (Excel, Word, PowerPoint) – niveau avancé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– niveau avancé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Nanterre, France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Saclay, France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incluant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Résultats: 1M€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