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mise en place de panels fournisseurs pour les composants critiques.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des appels d'offres pour des achats directs et indirects.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et déploiement de stratégies d'achats indirects, CAPEX et durable.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achats et d’assistants, coordination multi‑sites.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Make‑or‑Buy et évaluation des risques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contractuelle, droit des contrats et renégociation de contrats cadres.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Supply Chain Management, optimisation des flux logistiques et gestion des rétrofits.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Reporting stratégique incluant le suivi des économies (savings) et des indicateurs de performance.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Audit fournisseurs axé sur la qualité, l’innovation et la conformité.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Claim Management et résolution de litiges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d’achats industriels (génie civil, électrification, métros, aéronautique).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05.2021-10.2021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05.2019-07.2020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09.2015-09.2016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09.2013-04.2014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