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négociation internationale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stratégies d'achats durables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d'achats CAPEX, indirects et de travaux neufs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d'équipes achats et d'analystes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 et optimisation du coût total de possession (TCO)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des appels d'offres, création de panels fournisseurs et cartographie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Contract management et maîtrise du droit des contrats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 et coordination logistique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Microsoft Office:</w:t>
      </w:r>
      <w:r>
        <w:rPr>
          <w:rFonts w:cs="Calibri" w:ascii="Calibri" w:hAnsi="Calibri"/>
          <w:color w:val="002060"/>
          <w:sz w:val="20"/>
          <w:szCs w:val="20"/>
        </w:rPr>
        <w:t xml:space="preserve"> Word, Excel, PowerPoint, Outlook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SAP:</w:t>
      </w:r>
      <w:r>
        <w:rPr>
          <w:rFonts w:cs="Calibri" w:ascii="Calibri" w:hAnsi="Calibri"/>
          <w:color w:val="002060"/>
          <w:sz w:val="20"/>
          <w:szCs w:val="20"/>
        </w:rPr>
        <w:t xml:space="preserve"> SAP MM / Procurement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en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achats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