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9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spacing w:before="0" w:after="19"/>
        <w:rPr/>
      </w:pPr>
      <w:r>
        <w:rPr/>
        <mc:AlternateContent>
          <mc:Choice Requires="wps">
            <w:drawing>
              <wp:inline distT="0" distB="0" distL="0" distR="0" wp14:anchorId="66AFEDD7">
                <wp:extent cx="6494145" cy="309880"/>
                <wp:effectExtent l="0" t="0" r="20955" b="13970"/>
                <wp:docPr id="1001" name="Rectangle : coins arrondis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DOMAINES DE COMPÉTENCES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16"/>
          <w:szCs w:val="16"/>
        </w:rPr>
      </w:pPr>
      <w:r>
        <w:rPr>
          <w:rFonts w:cs="Calibri" w:ascii="Calibri" w:hAnsi="Calibri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Pilotage de projets de sourcing et élaboration de stratégies d'achats directs et indirects dans les secteurs sidérurgie, ferroviaire, aéronautique, automobile et agroalimentaire.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Négociation internationale et gestion contractuelle, incluant le droit des contrats, la renégociation de cadres et le management des risques fournisseurs.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Analyse Make‑or‑Buy, appels d’offres et création de panels fournisseurs pour des composants complexes (mouvements horlogers, équipements miniers, pièces aéronautiques, etc.).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Management fonctionnel d’équipes d’analystes et d’assistants achats, coordination transversale et suivi de performances (savings, KPI).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Gestion de projets CAPEX, travaux neufs et revampings, incluant le suivi logistique, le claim management et l’optimisation du TCO.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Mise en œuvre d’achats durables et de stratégies d’approvisionnement responsable.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Maîtrise du Supply Chain Management, de la planification des besoins et du suivi de la performance fournisseurs.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0644434D">
                <wp:extent cx="6494145" cy="309880"/>
                <wp:effectExtent l="0" t="0" r="20955" b="13970"/>
                <wp:docPr id="1002" name="Rectangle : coins arrondis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OUTILS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b/>
          <w:bCs/>
          <w:color w:val="002060"/>
          <w:sz w:val="20"/>
          <w:szCs w:val="20"/>
        </w:rPr>
        <w:t xml:space="preserve">Suite bureautique:</w:t>
      </w:r>
      <w:r>
        <w:rPr>
          <w:rFonts w:cs="Calibri" w:ascii="Calibri" w:hAnsi="Calibri"/>
          <w:color w:val="002060"/>
          <w:sz w:val="20"/>
          <w:szCs w:val="20"/>
        </w:rPr>
        <w:t xml:space="preserve"> Microsoft Office (niveau avancé)</w: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b/>
          <w:bCs/>
          <w:color w:val="002060"/>
          <w:sz w:val="20"/>
          <w:szCs w:val="20"/>
        </w:rPr>
        <w:t xml:space="preserve">ERP:</w:t>
      </w:r>
      <w:r>
        <w:rPr>
          <w:rFonts w:cs="Calibri" w:ascii="Calibri" w:hAnsi="Calibri"/>
          <w:color w:val="002060"/>
          <w:sz w:val="20"/>
          <w:szCs w:val="20"/>
        </w:rPr>
        <w:t xml:space="preserve"> SAP (niveau avancé)</w: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spacing w:before="0" w:after="19"/>
        <w:rPr/>
      </w:pPr>
      <w:r>
        <w:rPr/>
        <mc:AlternateContent>
          <mc:Choice Requires="wps">
            <w:drawing>
              <wp:inline distT="0" distB="0" distL="0" distR="0" wp14:anchorId="03D68D8F">
                <wp:extent cx="6494145" cy="309880"/>
                <wp:effectExtent l="0" t="0" r="20955" b="13970"/>
                <wp:docPr id="1003" name="Rectangle : coins arrondis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SECTEURS D’ACTIVITÉ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spacing w:before="0" w:after="19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sidérurgie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ferroviaire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aéronautique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automobile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alimentaire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1134" w:leader="none"/>
        </w:tabs>
        <w:spacing w:before="60" w:after="0"/>
        <w:ind w:hanging="0" w:left="1134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59015D59">
                <wp:extent cx="6494145" cy="309880"/>
                <wp:effectExtent l="0" t="0" r="20955" b="13970"/>
                <wp:docPr id="1004" name="Rectangle : coins arrondis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DIPLÔMES / FORMATION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tbl>
      <w:tblPr>
        <w:tblStyle w:val="PlainTable1"/>
        <w:tblW w:w="10218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7481"/>
        <w:gridCol w:w="2736"/>
      </w:tblGrid>
      <w:tr>
        <w:trPr>
          <w:trHeight w:val="300" w:hRule="atLeast"/>
        </w:trPr>
        <w:tc>
          <w:tcPr>
            <w:tcW w:w="748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Master Affaires Internationales</w:t>
            </w: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</w:p>
          <w:p>
            <w:pPr>
              <w:pStyle w:val="Contenudetableau"/>
              <w:widowControl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hanging="0" w:left="720"/>
              <w:jc w:val="left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Université Paris Nanterre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,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> </w:t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Nanterre</w:t>
            </w:r>
          </w:p>
        </w:tc>
        <w:tc>
          <w:tcPr>
            <w:tcW w:w="2736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suppressAutoHyphens w:val="true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2014</w:t>
            </w:r>
          </w:p>
        </w:tc>
      </w:tr>
    </w:tbl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tbl>
      <w:tblPr>
        <w:tblStyle w:val="PlainTable1"/>
        <w:tblW w:w="10218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7481"/>
        <w:gridCol w:w="2736"/>
      </w:tblGrid>
      <w:tr>
        <w:trPr>
          <w:trHeight w:val="300" w:hRule="atLeast"/>
        </w:trPr>
        <w:tc>
          <w:tcPr>
            <w:tcW w:w="748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Master Management global des achats et de la chaîne logistique</w:t>
            </w: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</w:p>
          <w:p>
            <w:pPr>
              <w:pStyle w:val="Contenudetableau"/>
              <w:widowControl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hanging="0" w:left="720"/>
              <w:jc w:val="left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Université Paris Saclay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,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> </w:t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Saclay</w:t>
            </w:r>
          </w:p>
        </w:tc>
        <w:tc>
          <w:tcPr>
            <w:tcW w:w="2736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suppressAutoHyphens w:val="true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2016</w:t>
            </w:r>
          </w:p>
        </w:tc>
      </w:tr>
    </w:tbl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  <w:r>
        <w:rPr>
          <w:sz w:val="21"/>
          <w:szCs w:val="21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2466F43A">
                <wp:extent cx="6494145" cy="309880"/>
                <wp:effectExtent l="0" t="0" r="20955" b="13970"/>
                <wp:docPr id="1005" name="Rectangle : coins arrondis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LANGUES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Anglais :  </w:t>
        <w:tab/>
        <w:t xml:space="preserve">C1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Espagnol :  </w:t>
        <w:tab/>
        <w:t xml:space="preserve">C2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Allemand :  </w:t>
        <w:tab/>
        <w:t xml:space="preserve">B2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Portugais :  </w:t>
        <w:tab/>
        <w:t xml:space="preserve">B1</w:t>
        <w:tab/>
      </w:r>
    </w:p>
    <w:p>
      <w:pPr>
        <w:pStyle w:val="Normal"/>
        <w:tabs>
          <w:tab w:val="clear" w:pos="708"/>
          <w:tab w:val="left" w:pos="1134" w:leader="none"/>
        </w:tabs>
        <w:spacing w:before="60" w:after="0"/>
        <w:ind w:hanging="567" w:left="1134"/>
        <w:jc w:val="left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1CB42732">
                <wp:extent cx="6494145" cy="309880"/>
                <wp:effectExtent l="0" t="0" r="20955" b="13970"/>
                <wp:docPr id="1006" name="Rectangle : coins arrondis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EXPÉRIENCES PROFESSIONNELLES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/>
      </w:pPr>
      <w:r>
        <w:rPr/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ERAMET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10.2024 - 04.2025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6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Category Manager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Masse achat: 80M€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Périmètre: engins miniers, maintenance, pneus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OFFICINE PANERAI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11.2022 - 09.2024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 an 10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Acheteur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Analyse Make or Buy sur le portefeuille mouvements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Appels d'offres des pièces achetées et sous-traitées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Création d'un panel de fournisseurs pour les composants des mouvements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Rapports stratégiques y compris savings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ALTEN POUR ALSTOM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10.2021 - 03.2022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6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manager achats indirects / Consultant acheteur CAPEX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d'offres catégories indirects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Elaboration de la stratégie achat indirect, CAPEX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d'une analyste achat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d'offres projets travaux neufs de 7 sites industriels (lots génie civil)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Résultats: 1M€ de savings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ALTEN POUR ARCELORMITTAL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05.2021 - 10.2021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6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achats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Elaboration de la stratégie achat et déploiement dans les filiales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Contract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Renégociation des contrats cadres de maintenance d’engins miniers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Chef de projet achats électrification flotte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des acheteurs en local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MASTERIS - GROUPE SNCF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12.2020 - 05.2021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6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acheteur ferroviaire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ALTRAN POUR AIRBUS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05.2019 - 07.2020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 an 2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achats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Achat projet: rénovation des métros de Lille (compresseur, convertisseur, tachymètres)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Claim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chiffrages achat amont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pièces de rechange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SWISS INT. AIRLINES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01.2017 - 04.2019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2 ans 4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Personnel Navigant Commercial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RENAULT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09.2015 - 09.2016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 an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Ingénieur projets véhicules utilitaires légers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WORLD AND MORE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09.2013 - 04.2014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8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Acheteur alimentaire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Définition du besoin en achat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Sourcing de produits alimentaires (Espagne, Turquie)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Analyse et renégociation des contrats cadres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 projet achat logistique pour les rétrofits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Claim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d'offres upgrades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Projet A220: analyse des contrats, recherche de communalités In Service Issues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09" w:right="748" w:gutter="0" w:header="283" w:top="851" w:footer="214" w:bottom="12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 Sauce Sans Light">
    <w:charset w:val="01"/>
    <w:family w:val="roman"/>
    <w:pitch w:val="variable"/>
  </w:font>
  <w:font w:name="Callibri">
    <w:charset w:val="01"/>
    <w:family w:val="roman"/>
    <w:pitch w:val="variable"/>
  </w:font>
  <w:font w:name="Clibri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3" wp14:anchorId="792A83A9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9" name="Organigramme : Alternativ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176" coordsize="21600,21600" o:spt="176" path="m,3600qy@5@6l@0,qx@7@5l21600@1qy@8@9l3600,21600qx@6@8xe">
              <v:stroke joinstyle="miter"/>
              <v:formulas>
                <v:f eqn="sum width 0 3600"/>
                <v:f eqn="sum height 0 3600"/>
                <v:f eqn="prod 3600 2929 10000"/>
                <v:f eqn="sum width 0 @2"/>
                <v:f eqn="sum height 0 @2"/>
                <v:f eqn="sum 3600 0 0"/>
                <v:f eqn="sum 0 3600 3600"/>
                <v:f eqn="sum 3600 @0 0"/>
                <v:f eqn="sum 0 21600 3600"/>
                <v:f eqn="sum 3600 @1 0"/>
              </v:formulas>
              <v:path gradientshapeok="t" o:connecttype="rect" textboxrect="@2,@2,@3,@4"/>
            </v:shapetype>
            <v:shape id="shape_0" ID="Organigramme : Alternative 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792A83A9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eastAsia="" w:cs="Arial" w:ascii="Open Sauce Sans Light" w:hAnsi="Open Sauce Sans Light" w:eastAsiaTheme="majorEastAsia"/>
        <w:bCs/>
        <w:color w:val="002060"/>
        <w:sz w:val="16"/>
        <w:szCs w:val="16"/>
        <w:lang w:val="it-IT"/>
      </w:rPr>
      <w:t>simon.zana@nava-eng.com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3" wp14:anchorId="792A83A9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10" name="Organigramme : Alternativ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ID="Organigramme : Alternative 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792A83A9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eastAsia="" w:cs="Arial" w:ascii="Open Sauce Sans Light" w:hAnsi="Open Sauce Sans Light" w:eastAsiaTheme="majorEastAsia"/>
        <w:bCs/>
        <w:color w:val="002060"/>
        <w:sz w:val="16"/>
        <w:szCs w:val="16"/>
        <w:lang w:val="it-IT"/>
      </w:rPr>
      <w:t>simon.zana@nava-eng.com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  <w:sz w:val="34"/>
        <w:szCs w:val="34"/>
      </w:rPr>
    </w:pPr>
    <w:r>
      <w:drawing>
        <wp:anchor behindDoc="1" distT="0" distB="0" distL="0" distR="0" simplePos="0" locked="0" layoutInCell="0" allowOverlap="1" relativeHeight="15">
          <wp:simplePos x="0" y="0"/>
          <wp:positionH relativeFrom="column">
            <wp:posOffset>192405</wp:posOffset>
          </wp:positionH>
          <wp:positionV relativeFrom="paragraph">
            <wp:posOffset>-24130</wp:posOffset>
          </wp:positionV>
          <wp:extent cx="1019810" cy="1032510"/>
          <wp:effectExtent l="0" t="0" r="0" b="0"/>
          <wp:wrapSquare wrapText="largest"/>
          <wp:docPr id="7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716" t="6596" r="7558" b="6596"/>
                  <a:stretch>
                    <a:fillRect/>
                  </a:stretch>
                </pic:blipFill>
                <pic:spPr bwMode="auto">
                  <a:xfrm>
                    <a:off x="0" y="0"/>
                    <a:ext cx="1019810" cy="1032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2060"/>
        <w:sz w:val="34"/>
        <w:szCs w:val="34"/>
      </w:rPr>
      <w:t xml:space="preserve">CPE</w:t>
    </w:r>
  </w:p>
  <w:p>
    <w:pPr>
      <w:pStyle w:val="Normal"/>
      <w:jc w:val="right"/>
      <w:rPr>
        <w:b/>
        <w:bCs/>
        <w:color w:val="002060"/>
        <w:sz w:val="40"/>
        <w:szCs w:val="40"/>
      </w:rPr>
    </w:pPr>
    <w:r>
      <w:rPr>
        <w:b/>
        <w:bCs/>
        <w:color w:val="002060"/>
        <w:sz w:val="40"/>
        <w:szCs w:val="40"/>
      </w:rPr>
      <w:t xml:space="preserve">Category Manager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  <w:t xml:space="preserve">9 ans d'expériences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  <w:sz w:val="34"/>
        <w:szCs w:val="34"/>
      </w:rPr>
    </w:pPr>
    <w:r>
      <w:drawing>
        <wp:anchor behindDoc="1" distT="0" distB="0" distL="0" distR="0" simplePos="0" locked="0" layoutInCell="0" allowOverlap="1" relativeHeight="15">
          <wp:simplePos x="0" y="0"/>
          <wp:positionH relativeFrom="column">
            <wp:posOffset>192405</wp:posOffset>
          </wp:positionH>
          <wp:positionV relativeFrom="paragraph">
            <wp:posOffset>-24130</wp:posOffset>
          </wp:positionV>
          <wp:extent cx="1019810" cy="1032510"/>
          <wp:effectExtent l="0" t="0" r="0" b="0"/>
          <wp:wrapSquare wrapText="largest"/>
          <wp:docPr id="8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716" t="6596" r="7558" b="6596"/>
                  <a:stretch>
                    <a:fillRect/>
                  </a:stretch>
                </pic:blipFill>
                <pic:spPr bwMode="auto">
                  <a:xfrm>
                    <a:off x="0" y="0"/>
                    <a:ext cx="1019810" cy="1032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2060"/>
        <w:sz w:val="34"/>
        <w:szCs w:val="34"/>
      </w:rPr>
      <w:t xml:space="preserve">CPE</w:t>
    </w:r>
  </w:p>
  <w:p>
    <w:pPr>
      <w:pStyle w:val="Normal"/>
      <w:jc w:val="right"/>
      <w:rPr>
        <w:b/>
        <w:bCs/>
        <w:color w:val="002060"/>
        <w:sz w:val="40"/>
        <w:szCs w:val="40"/>
      </w:rPr>
    </w:pPr>
    <w:r>
      <w:rPr>
        <w:b/>
        <w:bCs/>
        <w:color w:val="002060"/>
        <w:sz w:val="40"/>
        <w:szCs w:val="40"/>
      </w:rPr>
      <w:t xml:space="preserve">Category Manager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  <w:t xml:space="preserve">9 ans d'expériences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1068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2"/>
        <w:szCs w:val="22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2"/>
        <w:szCs w:val="22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sz w:val="22"/>
        <w:szCs w:val="22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  <w:sz w:val="22"/>
        <w:szCs w:val="22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2"/>
        <w:szCs w:val="22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2"/>
        <w:szCs w:val="22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2"/>
        <w:szCs w:val="22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2"/>
        <w:szCs w:val="22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2"/>
        <w:szCs w:val="22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2"/>
        <w:szCs w:val="22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6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f4571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fr-FR" w:eastAsia="fr-FR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cf4571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cf4571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cf457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cf457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cf457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cf457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cf457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cf4571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cf4571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cf45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itre2Car" w:customStyle="1">
    <w:name w:val="Titre 2 Car"/>
    <w:basedOn w:val="DefaultParagraphFont"/>
    <w:uiPriority w:val="9"/>
    <w:semiHidden/>
    <w:qFormat/>
    <w:rsid w:val="00cf45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itre3Car" w:customStyle="1">
    <w:name w:val="Titre 3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itre4Car" w:customStyle="1">
    <w:name w:val="Titre 4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accent1" w:themeShade="bf" w:val="2F5496"/>
    </w:rPr>
  </w:style>
  <w:style w:type="character" w:styleId="Titre5Car" w:customStyle="1">
    <w:name w:val="Titre 5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accent1" w:themeShade="bf" w:val="2F5496"/>
    </w:rPr>
  </w:style>
  <w:style w:type="character" w:styleId="Titre6Car" w:customStyle="1">
    <w:name w:val="Titre 6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uiPriority w:val="10"/>
    <w:qFormat/>
    <w:rsid w:val="00cf4571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uiPriority w:val="11"/>
    <w:qFormat/>
    <w:rsid w:val="00cf457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cf457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f4571"/>
    <w:rPr>
      <w:i/>
      <w:iCs/>
      <w:color w:themeColor="accent1" w:themeShade="bf" w:val="2F5496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cf4571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cf4571"/>
    <w:rPr>
      <w:b/>
      <w:bCs/>
      <w:smallCaps/>
      <w:color w:themeColor="accent1" w:themeShade="bf" w:val="2F5496"/>
      <w:spacing w:val="5"/>
    </w:rPr>
  </w:style>
  <w:style w:type="character" w:styleId="PieddepageCar" w:customStyle="1">
    <w:name w:val="Pied de page Car"/>
    <w:basedOn w:val="DefaultParagraphFont"/>
    <w:uiPriority w:val="99"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Hyperlink">
    <w:name w:val="Hyperlink"/>
    <w:uiPriority w:val="99"/>
    <w:rsid w:val="00cf4571"/>
    <w:rPr>
      <w:color w:val="0000FF"/>
      <w:u w:val="single"/>
    </w:rPr>
  </w:style>
  <w:style w:type="character" w:styleId="CorpsdetexteCar" w:customStyle="1">
    <w:name w:val="Corps de texte Car"/>
    <w:qFormat/>
    <w:rsid w:val="00cf4571"/>
    <w:rPr>
      <w:sz w:val="24"/>
      <w:szCs w:val="24"/>
    </w:rPr>
  </w:style>
  <w:style w:type="character" w:styleId="CorpsdetexteCar1" w:customStyle="1">
    <w:name w:val="Corps de texte Car1"/>
    <w:basedOn w:val="DefaultParagraphFont"/>
    <w:uiPriority w:val="99"/>
    <w:semiHidden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En-tteCar" w:customStyle="1">
    <w:name w:val="En-tête Car"/>
    <w:basedOn w:val="DefaultParagraphFont"/>
    <w:uiPriority w:val="99"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Puces">
    <w:name w:val="Puces"/>
    <w:qFormat/>
    <w:rPr>
      <w:rFonts w:ascii="Calibri" w:hAnsi="Calibri" w:eastAsia="OpenSymbol" w:cs="OpenSymbol"/>
      <w:sz w:val="22"/>
      <w:szCs w:val="22"/>
    </w:rPr>
  </w:style>
  <w:style w:type="character" w:styleId="Caractresdenumrotation">
    <w:name w:val="Caractères de numérotation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sdetexteCar"/>
    <w:rsid w:val="00cf4571"/>
    <w:pPr>
      <w:suppressAutoHyphens w:val="true"/>
      <w:overflowPunct w:val="true"/>
      <w:spacing w:before="0" w:after="120"/>
    </w:pPr>
    <w:rPr>
      <w:rFonts w:ascii="Calibri" w:hAnsi="Calibri" w:eastAsia="Calibri" w:cs="" w:asciiTheme="minorHAnsi" w:cstheme="minorBidi" w:eastAsiaTheme="minorHAnsi" w:hAnsiTheme="minorHAnsi"/>
      <w:lang w:eastAsia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reCar"/>
    <w:uiPriority w:val="10"/>
    <w:qFormat/>
    <w:rsid w:val="00cf4571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cf457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cf4571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f4571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cf45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En-tteetpieddepage">
    <w:name w:val="En-tête et pied de page"/>
    <w:basedOn w:val="Normal"/>
    <w:qFormat/>
    <w:pPr/>
    <w:rPr/>
  </w:style>
  <w:style w:type="paragraph" w:styleId="Footer">
    <w:name w:val="Footer"/>
    <w:basedOn w:val="Normal"/>
    <w:link w:val="PieddepageCar"/>
    <w:uiPriority w:val="99"/>
    <w:rsid w:val="00cf45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Contenudecadre" w:customStyle="1">
    <w:name w:val="Contenu de cadre"/>
    <w:basedOn w:val="Normal"/>
    <w:qFormat/>
    <w:rsid w:val="00cf4571"/>
    <w:pPr>
      <w:suppressAutoHyphens w:val="true"/>
      <w:overflowPunct w:val="true"/>
    </w:pPr>
    <w:rPr/>
  </w:style>
  <w:style w:type="paragraph" w:styleId="Header">
    <w:name w:val="Header"/>
    <w:basedOn w:val="Normal"/>
    <w:link w:val="En-tteCar"/>
    <w:uiPriority w:val="99"/>
    <w:unhideWhenUsed/>
    <w:rsid w:val="00cf45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658</TotalTime>
  <Application>LibreOffice/24.2.7.2$Linux_X86_64 LibreOffice_project/420$Build-2</Application>
  <AppVersion>15.0000</AppVersion>
  <Pages>1</Pages>
  <Words>188</Words>
  <Characters>1018</Characters>
  <CharactersWithSpaces>1160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2025-12-10T11:43:00Z</dcterms:created>
  <dc:creator>Lucas Buixuanhy</dc:creator>
  <dc:description/>
  <dc:language>fr-FR</dc:language>
  <cp:lastModifiedBy/>
  <dcterms:modified xsi:type="dcterms:W3CDTF">2026-01-07T11:54:25Z</dcterms:modified>
  <cp:revision>259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