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du sourcing et élaboration de stratégies d’achat directes et indirectes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gestion juridique des contrats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évaluation de leur performance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d’achats CAPEX et de travaux neufs sur plusieurs sites industriels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d’analystes et d’assistants achats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Mise en place d’achats durables et suivi des indicateurs de performance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Make‑or‑Buy et optimisation du coût total de possession (TCO)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des appels d’offres, création de panels fournisseurs et cartographie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Reporting stratégique incluant le suivi des économies réalisées (savings)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Supply Chain Management et coordination logistique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Claim Management et traitement des réclamations fournisseurs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Audit fournisseurs axé sur la qualité et l’innovation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de plusieurs langues (anglais C1, espagnol C2, allemand B2, portugais B1)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 (Word, Excel, PowerPoint) – niveau avancé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 – niveau avancé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en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Saclay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courant 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avancé 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intermédiaire 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intermédiaire 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Résultats: 1M€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05.2021-10.2021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05.2019-07.2020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09.2015-09.2016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fournisseurs: qualité, innovation - 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09.2013-04.2014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