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projets de sourcing et mise en place de stratégies d'achat directes et indirectes dans les secteurs sidérurgie, ferroviaire, aéronautique, automobile et agroalimentaire.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gestion contractuelle, incluant la renégociation de contrats cadres et le droit des contrats.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approfondie des risques fournisseurs et réalisation d'études Make‑or‑Buy pour optimiser les coûts et la performance.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d’acheteurs et d’assistants achats, avec suivi des indicateurs de performance et reporting stratégique.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complète des appels d’offres, de la définition du besoin à la sélection et à l’intégration des fournisseurs dans un panel dédié.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Conduite de projets CAPEX et de travaux neufs, incluant la planification, le suivi budgétaire et la coordination multi‑sites.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Mise en œuvre d’achats durables et de pratiques de supply‑chain management visant à réduire l’empreinte environnementale.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Claim Management et suivi des litiges fournisseurs pour assurer la continuité opérationnelle.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et reporting des économies réalisées (savings) et élaboration de tableaux de bord décisionnels.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Utilisation de plusieurs langues (anglais C1, espagnol C2, allemand B2, portugais B1) pour mener des négociations et des collaborations internationales.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 (niveau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Office (Word, Excel, PowerPoint, Outlook – 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Saclay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10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Résultats: 1M€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 ans 4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/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 / 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fournisseurs: qualité, innovation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