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d’achats et pilotage de projets de sourcing à l’échelle internationale.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contractuelle incluant le droit des contrats, la renégociation et le claim management.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de solutions d’achats durables ainsi que de stratégies Make‑or‑Buy.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management fonctionnel des équipes achats, avec suivi des économies réalisées.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du cycle d’appel d’offres, de la définition des besoins à l’évaluation des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Coordination de la supply chain et optimisation des coûts logistiques dans les secteurs industriels variés.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['Microsoft Office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/ Gestion des achats:</w:t>
      </w:r>
      <w:r>
        <w:rPr>
          <w:rFonts w:cs="Calibri" w:ascii="Calibri" w:hAnsi="Calibri"/>
          <w:color w:val="002060"/>
          <w:sz w:val="20"/>
          <w:szCs w:val="20"/>
        </w:rPr>
        <w:t xml:space="preserve"> ['SAP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maintenance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pneus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10/2024 - présent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du périmètre achats engins miniers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(POUR ALSTOM)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04/2025 - présent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Pilotage des achats de prestations industrielles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(POUR ARCELORMITTAL)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11/2022 - 09/2024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achats de travaux neufs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 : 1 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12/2023 - 10/2024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achats de matériel roulant et projets de rénovation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(Projet)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et appels d'offres pour pièces de mouvement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 sur le produit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à fabriquer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