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sourcing et négociation internationale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droit des contrats et du contract management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stratégies d'achats durables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et d’assistants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CAPEX, travaux neufs et revampings industriels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 et optimisation du coût total de possession (TCO)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des appels d’offres, création de panels fournisseurs et cartographie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 pour les achats directs et indirects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et réalisation de savings significatifs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et gestion des achats:</w:t>
      </w:r>
      <w:r>
        <w:rPr>
          <w:rFonts w:cs="Calibri" w:ascii="Calibri" w:hAnsi="Calibri"/>
          <w:color w:val="002060"/>
          <w:sz w:val="20"/>
          <w:szCs w:val="20"/>
        </w:rPr>
        <w:t xml:space="preserve"> SAP (avancé)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PANERAI, NEUCHÂTEL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ALSTOM, VILLENEUVE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 / 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ARCELORMITTAL, DUNKERQUE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AIRBUS, BLAGNAC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AIRLINES, GENÈVE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RENAULT, LE PLESSIS ROBINSON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MORE, WISSOUS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