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et déploiement de stratégies d'achat globales, incluant la définition de politiques d'achat direct et indirect pour des secteurs variés (sidérurgie, ferroviaire, aéronautique, automobile).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d'achat complexes, tels que l'électrification de flottes, la rénovation de métros, les rétrofits aéronautiques et les travaux neufs de sites industriels.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renégociation de contrats cadres, avec un focus sur les économies (savings) et l'optimisation du coût total de possession (TCO).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processus de sourcing, appels d'offres et création de panels fournisseurs, incluant l'analyse Make‑or‑Buy et la sélection de partenaires stratégiques.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d'équipes d'acheteurs et d'assistants achats, assurant la coordination transversale et le suivi de la performance.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fournisseurs, claim management et suivi de la conformité contractuelle dans des environnements à forte exigence réglementaire.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du Supply Chain Management et des achats durables, intégrant les exigences environnementales et sociales dans les décisions d'approvisionnement.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['Microsoft Office (niveau avancé)']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 et outils de gestion des achats:</w:t>
      </w:r>
      <w:r>
        <w:rPr>
          <w:rFonts w:cs="Calibri" w:ascii="Calibri" w:hAnsi="Calibri"/>
          <w:color w:val="002060"/>
          <w:sz w:val="20"/>
          <w:szCs w:val="20"/>
        </w:rPr>
        <w:t xml:space="preserve"> ['SAP (niveau avancé)']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ERAMET, PARIS 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PANERAI, NEUCHÂTEL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ALSTOM, VILLENEUVE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ARCELORMITTAL, DUNKERQUE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AIRBUS, BLAGNAC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15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AIRLINES, GENÈVE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RENAULT, LE PLESSIS ROBINSON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fournisseurs: qualité, innovation - 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MORE, WISSOUS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8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8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