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et déploiement de stratégies d’achat à l’échelle du groupe et dans les filiales.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 et d’assistants achats sur plusieurs sites industriels.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d’achats complexes (électrification de flotte, CAPEX, rénovation de métros, conversion automobile, etc.).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de négociations internationales et renégociation de contrats‑cadres, notamment en maintenance d’engins miniers.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du sourcing, appels d’offres et création de panels fournisseurs pour des secteurs variés (sidérurgie, ferroviaire, aéronautique, automobile).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fournisseurs, études Make‑or‑Buy et optimisation du coût total de possession (TCO).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Expertise en contract management et droit des contrats.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supply chain management et mise en œuvre d’achats durables.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Reporting stratégique et réalisation de savings significatifs sur des budgets allant jusqu’à 200 M €.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['Microsoft Office (avancé)']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['SAP (avancé)']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courant (Avancé)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avancé (Maîtrise)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intermédiaire (Intermédiaire avancé)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intermédiaire (Intermédiaire)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–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contrats‑cadres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–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Make‑or‑Buy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–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–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 : 1 M 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–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–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15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–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–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Make‑or‑Buy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–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contrats‑cadres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