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et déploiement de stratégies d’achats adaptées aux filiales, incluant la définition de politiques d’achats durables.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du cycle de vie des contrats, incluant le contract management et la renégociation de contrats cadres.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d’achats complexes (électrification de flotte, travaux neufs, rétrofits aéronautiques) avec coordination fonctionnelle des équipes achats.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d’acheteurs, d’analystes et d’assistants achats dans différents sites industriels.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d’appels d’offres (directs, indirects, upgrades, projets CAPEX) et sélection de fournisseurs stratégiques.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analyse des risques fournisseurs, incluant le make‑or‑buy et l’évaluation du coût total de possession (TCO).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des réclamations (claim management) et suivi des pièces de rechange.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supply chain management et optimisation des coûts logistiques.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Expertise en droit des contrats et en achats durables.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aérien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(Avancé)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(Maîtrise)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(Intermédiaire avancé)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(Intermédiaire)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–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–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11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–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–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 : 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–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–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–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et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–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–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