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66AFEDD7">
                <wp:extent cx="6494145" cy="309880"/>
                <wp:effectExtent l="0" t="0" r="20955" b="13970"/>
                <wp:docPr id="1001" name="Rectangle : coins arrondi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Camille possède une solide expérience en élaboration et déploiement de stratégies d’achat tant directes qu’indirectes, incluant la gestion de catégories à forte valeur ajoutée dans les secteurs sidérurgie, ferroviaire, aéronautique et automobile.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Elle maîtrise la conduite de projets d’achat complexes, tels que l’électrification de flottes, les rétrofits d’avions ou les rénovations de métros, en assurant le suivi du cycle complet du sourcing à la mise en service.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Sa capacité de négociation internationale lui a permis de réaliser d’importants savings, notamment 1 M€ sur un projet CAPEX de 160 M€ et des économies récurrentes sur des contrats cadres de maintenance.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Camille gère efficacement les appels d’offres multi‑sites, le claim management et l’analyse des risques fournisseurs, tout en assurant le management fonctionnel d’équipes d’analystes et d’assistants achats.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Elle intègre les principes d’achats durables et de responsabilité sociétale dans la sélection des fournisseurs et la conception de stratégies d’approvisionnement responsables.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Grâce à son multilinguisme (anglais C1, espagnol C2, allemand B2, portugais B1) elle conduit des négociations et des collaborations transnationales avec aisance.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Elle possède des compétences avancées en gestion de la chaîne logistique, incluant le pilotage du supply chain, le make‑or‑buy, la cartographie des fournisseurs et l’optimisation du TCO.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Elle est également compétente en conduite du changement, formation des équipes achats et mise en place d’indicateurs de performance (KPIs) pour suivre les économies et la conformité contractuelle.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644434D">
                <wp:extent cx="6494145" cy="309880"/>
                <wp:effectExtent l="0" t="0" r="20955" b="13970"/>
                <wp:docPr id="1002" name="Rectangle : coins arrondis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Suite bureautique:</w:t>
      </w:r>
      <w:r>
        <w:rPr>
          <w:rFonts w:cs="Calibri" w:ascii="Calibri" w:hAnsi="Calibri"/>
          <w:color w:val="002060"/>
          <w:sz w:val="20"/>
          <w:szCs w:val="20"/>
        </w:rPr>
        <w:t xml:space="preserve"> Microsoft Word, Microsoft Excel (avancé), Microsoft PowerPoint, Microsoft Outlook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ERP et systèmes d’achat:</w:t>
      </w:r>
      <w:r>
        <w:rPr>
          <w:rFonts w:cs="Calibri" w:ascii="Calibri" w:hAnsi="Calibri"/>
          <w:color w:val="002060"/>
          <w:sz w:val="20"/>
          <w:szCs w:val="20"/>
        </w:rPr>
        <w:t xml:space="preserve"> SAP (avancé)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Outils d’analyse et de reporting:</w:t>
      </w:r>
      <w:r>
        <w:rPr>
          <w:rFonts w:cs="Calibri" w:ascii="Calibri" w:hAnsi="Calibri"/>
          <w:color w:val="002060"/>
          <w:sz w:val="20"/>
          <w:szCs w:val="20"/>
        </w:rPr>
        <w:t xml:space="preserve"> Microsoft Power BI (connaissances de base), Tableau (connaissances de base)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Gestion de projets et collaboration:</w:t>
      </w:r>
      <w:r>
        <w:rPr>
          <w:rFonts w:cs="Calibri" w:ascii="Calibri" w:hAnsi="Calibri"/>
          <w:color w:val="002060"/>
          <w:sz w:val="20"/>
          <w:szCs w:val="20"/>
        </w:rPr>
        <w:t xml:space="preserve"> Microsoft Project, Jira (connaissances de base), Confluence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03D68D8F">
                <wp:extent cx="6494145" cy="309880"/>
                <wp:effectExtent l="0" t="0" r="20955" b="13970"/>
                <wp:docPr id="1003" name="Rectangle : coins arrondi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sidérurgie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ferroviaire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aéronautique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automobile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horlogerie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aérien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alimentaire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minier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134" w:leader="none"/>
        </w:tabs>
        <w:spacing w:before="60" w:after="0"/>
        <w:ind w:hanging="0" w:left="1134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9015D59">
                <wp:extent cx="6494145" cy="309880"/>
                <wp:effectExtent l="0" t="0" r="20955" b="13970"/>
                <wp:docPr id="1004" name="Rectangle : coins arrondi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Paris‑Saclay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Paris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2016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Nanterre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Nanterre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2014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  <w:r>
        <w:rPr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466F43A">
                <wp:extent cx="6494145" cy="309880"/>
                <wp:effectExtent l="0" t="0" r="20955" b="13970"/>
                <wp:docPr id="1005" name="Rectangle : coins arrondis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Anglais :  </w:t>
        <w:tab/>
        <w:t xml:space="preserve">C1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Espagnol :  </w:t>
        <w:tab/>
        <w:t xml:space="preserve">C2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Allemand :  </w:t>
        <w:tab/>
        <w:t xml:space="preserve">B2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Portugais :  </w:t>
        <w:tab/>
        <w:t xml:space="preserve">B1</w:t>
        <w:tab/>
      </w:r>
    </w:p>
    <w:p>
      <w:pPr>
        <w:pStyle w:val="Normal"/>
        <w:tabs>
          <w:tab w:val="clear" w:pos="708"/>
          <w:tab w:val="left" w:pos="1134" w:leader="none"/>
        </w:tabs>
        <w:spacing w:before="60" w:after="0"/>
        <w:ind w:hanging="567" w:left="1134"/>
        <w:jc w:val="left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CB42732">
                <wp:extent cx="6494145" cy="309880"/>
                <wp:effectExtent l="0" t="0" r="20955" b="13970"/>
                <wp:docPr id="1006" name="Rectangle : coins arrondi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ERAMET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10.2024 – 04.2025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7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Category Manager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Élaboration de la stratégie achat et déploiement dans les filiales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Contract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Renégociation des contrats cadres de maintenance d’engins miniers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Chef de projet achats électrification flotte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des acheteurs en local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OFFICINE PANERAI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11.2022 – 09.2024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 an et 10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 or Buy sur le portefeuille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Appels d’offres des pièces achetées et sous‑traitées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Création d’un panel de fournisseurs pour les composants des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Rapports stratégiques y compris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ALSTOM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10.2021 – 03.2022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manager achats indirects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d’offres catégories indirects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Élaboration de la stratégie achat indirect, CAPEX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d’une analyste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ARCELORMITTAL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05.2021 – 10.2021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CAPEX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d’offres projets travaux neufs de 7 sites industriels (lots génie civil)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Résultat : 1 M€ de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MASTERIS – GROUPE SNCF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12.2020 – 05.2021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ferroviaire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 : rénovation des métros de Lille (compresseur, convertisseur, tachymètres)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chiffrages achat amont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pièces de rechange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ALTRAN POUR AIRBUS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05.2019 – 07.2020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 an et 3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aéronautique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 projet achat logistique pour les rétrofits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d’offres upgrades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Projet A220 : analyse des contrats, recherche de communalités In Service Issues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SWISS INTERNATIONAL AIRLINES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01.2017 – 04.2019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2 ans et 4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Personnel Navigant Commercial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RENAULT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09.2015 – 09.2016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 an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automobile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 : conversion d’un minibus haut de gamme et loisirs (habillages intérieurs)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d’appel d’offres sièges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Audit fournisseurs : qualité, innovation – Construction du panel fournisseurs et cartographie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Sujet contremarques : décomposition TCO et optimisation coûts logistique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 or Buy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WORLD AND MORE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09.2013 – 04.2014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8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alimentaire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Définition du besoin en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Sourcing de produits alimentaires (Espagne, Turquie)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et renégociation des contrats cadres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1" w:footer="214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Callibri">
    <w:charset w:val="01"/>
    <w:family w:val="roman"/>
    <w:pitch w:val="variable"/>
  </w:font>
  <w:font w:name="Clibri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9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0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7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8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2"/>
        <w:szCs w:val="22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2"/>
        <w:szCs w:val="22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2"/>
        <w:szCs w:val="22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2"/>
        <w:szCs w:val="22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2"/>
        <w:szCs w:val="22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2"/>
        <w:szCs w:val="22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2"/>
        <w:szCs w:val="22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571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f45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f45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f45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f45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457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f45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4571"/>
    <w:rPr>
      <w:b/>
      <w:bCs/>
      <w:smallCaps/>
      <w:color w:themeColor="accent1" w:themeShade="bf" w:val="2F5496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yperlink">
    <w:name w:val="Hyperlink"/>
    <w:uiPriority w:val="99"/>
    <w:rsid w:val="00cf4571"/>
    <w:rPr>
      <w:color w:val="0000FF"/>
      <w:u w:val="single"/>
    </w:rPr>
  </w:style>
  <w:style w:type="character" w:styleId="CorpsdetexteCar" w:customStyle="1">
    <w:name w:val="Corps de texte Car"/>
    <w:qFormat/>
    <w:rsid w:val="00cf4571"/>
    <w:rPr>
      <w:sz w:val="24"/>
      <w:szCs w:val="24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uces">
    <w:name w:val="Puces"/>
    <w:qFormat/>
    <w:rPr>
      <w:rFonts w:ascii="Calibri" w:hAnsi="Calibri" w:eastAsia="OpenSymbol" w:cs="OpenSymbol"/>
      <w:sz w:val="22"/>
      <w:szCs w:val="22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rsid w:val="00cf4571"/>
    <w:pPr>
      <w:suppressAutoHyphens w:val="true"/>
      <w:overflowPunct w:val="true"/>
      <w:spacing w:before="0" w:after="12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cf457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f45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f457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457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 w:customStyle="1">
    <w:name w:val="Contenu de cadre"/>
    <w:basedOn w:val="Normal"/>
    <w:qFormat/>
    <w:rsid w:val="00cf4571"/>
    <w:pPr>
      <w:suppressAutoHyphens w:val="true"/>
      <w:overflowPunct w:val="true"/>
    </w:pPr>
    <w:rPr/>
  </w:style>
  <w:style w:type="paragraph" w:styleId="Header">
    <w:name w:val="Header"/>
    <w:basedOn w:val="Normal"/>
    <w:link w:val="En-tteCar"/>
    <w:uiPriority w:val="99"/>
    <w:unhideWhenUsed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Application>LibreOffice/24.2.7.2$Linux_X86_64 LibreOffice_project/420$Build-2</Application>
  <AppVersion>15.0000</AppVersion>
  <Pages>1</Pages>
  <Words>188</Words>
  <Characters>1018</Characters>
  <CharactersWithSpaces>1160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2025-12-10T11:43:00Z</dcterms:created>
  <dc:creator>Lucas Buixuanhy</dc:creator>
  <dc:description/>
  <dc:language>fr-FR</dc:language>
  <cp:lastModifiedBy/>
  <dcterms:modified xsi:type="dcterms:W3CDTF">2026-01-07T11:54:25Z</dcterms:modified>
  <cp:revision>259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