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de stratégies d’achat directes et indirectes alignées aux objectifs business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Conduite de processus de sourcing et d’appels d’offres internationaux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contractuelle et gestion des réclamations (claim management)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mise en place de programmes d’évaluation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achats et coordination transversale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projets CAPEX d’envergure (électrification, rétrofits, rénovations)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Optimisation du coût total de possession (TCO) et réalisation de savings significatifs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Mise en œuvre de politiques d’achats durables et de critères ESG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Leadership du changement et accompagnement des parties prenantes dans la transformation des processus achats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Conformité aux normes qualité (ISO 9001, IATF 16949) et gestion des audits fournisseurs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Excel, PowerPoint, Word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SAP, Ariba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Gestion de projets:</w:t>
      </w:r>
      <w:r>
        <w:rPr>
          <w:rFonts w:cs="Calibri" w:ascii="Calibri" w:hAnsi="Calibri"/>
          <w:color w:val="002060"/>
          <w:sz w:val="20"/>
          <w:szCs w:val="20"/>
        </w:rPr>
        <w:t xml:space="preserve"> MS Project, Jira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Analyse de données:</w:t>
      </w:r>
      <w:r>
        <w:rPr>
          <w:rFonts w:cs="Calibri" w:ascii="Calibri" w:hAnsi="Calibri"/>
          <w:color w:val="002060"/>
          <w:sz w:val="20"/>
          <w:szCs w:val="20"/>
        </w:rPr>
        <w:t xml:space="preserve"> Power BI, Tableau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Collaboration:</w:t>
      </w:r>
      <w:r>
        <w:rPr>
          <w:rFonts w:cs="Calibri" w:ascii="Calibri" w:hAnsi="Calibri"/>
          <w:color w:val="002060"/>
          <w:sz w:val="20"/>
          <w:szCs w:val="20"/>
        </w:rPr>
        <w:t xml:space="preserve"> Teams, SharePoint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horlogerie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aérien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Paris‑Saclay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10/2024 – 04/2025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et déploiement dans les filiales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contrats‑cadres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Masse d’achat : engins miniers, maintenance, pneus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11/2022 – 09/2024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11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mouvement complet, composants de mouvements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mouvement complet, composants de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Make‑or‑Buy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d’offres des pièces achetées et sous‑traitées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d’un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incluant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10/2021 – 03/2022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catégories indirectes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catégories indirectes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d’une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05/2021 – 10/2021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projets travaux neufs de 7 sites industriels (lots génie civil)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 : 1 M 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–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12/2020 – 05/2021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matériel roulant de train, tramway, métro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matériel roulant de train, tramway, métro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05/2019 – 07/2020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cabine d’avion (sièges, équipements d’urgence, textiles, galleys, éclairages)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cabine d’avion (sièges, équipements d’urgence, textiles, galleys, éclairages)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 : analyse des contrats, recherche de communalités In‑Service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INTERNATIONAL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01/2017 – 04/2019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 ans et 4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09/2015 – 09/2016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conversions de véhicule utilitaire léger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conversions de véhicule utilitaire léger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conversion d’un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d’appels d’offres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 : qualité, innovation – 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 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Make‑or‑Buy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09/2013 – 04/2014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produits alimentaires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produits alimentaires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contrats‑cadres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