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Définition et mise en œuvre de stratégies d’achat alignées aux objectifs business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Gestion du contract management et négociation internationale de contrats cadres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Pilotage de projets d’électrification de flottes et d’optimisation CAPEX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Management fonctionnel d’équipes achats et d’assistants achats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des risques fournisseurs et élaboration de plans d’atténuation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Optimisation de la chaîne d’approvisionnement et sourcing stratégique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Intégration d’achats durables et critères ESG dans les processus d’approvisionnement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Mise en place de KPI fournisseurs et suivi de la performance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Conduite du changement organisationnel lors de déploiements d’outils ERP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before="60" w:after="0"/>
        <w:contextualSpacing/>
        <w:rPr>
          <w:sz w:val="20"/>
          <w:szCs w:val="20"/>
        </w:rPr>
      </w:pPr>
      <w:r>
        <w:rPr>
          <w:rFonts w:cs="Calibri" w:ascii="Calibri" w:hAnsi="Calibri"/>
          <w:color w:val="002060"/>
          <w:sz w:val="20"/>
          <w:szCs w:val="20"/>
        </w:rPr>
        <w:t xml:space="preserve">Analyse de données d’achats avec des outils de Business Intelligence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Bureautique:</w:t>
      </w:r>
      <w:r>
        <w:rPr>
          <w:rFonts w:cs="Calibri" w:ascii="Calibri" w:hAnsi="Calibri"/>
          <w:color w:val="002060"/>
          <w:sz w:val="20"/>
          <w:szCs w:val="20"/>
        </w:rPr>
        <w:t xml:space="preserve"> Microsoft Office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ERP:</w:t>
      </w:r>
      <w:r>
        <w:rPr>
          <w:rFonts w:cs="Calibri" w:ascii="Calibri" w:hAnsi="Calibri"/>
          <w:color w:val="002060"/>
          <w:sz w:val="20"/>
          <w:szCs w:val="20"/>
        </w:rPr>
        <w:t xml:space="preserve"> SAP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b/>
          <w:bCs/>
          <w:color w:val="002060"/>
          <w:sz w:val="20"/>
          <w:szCs w:val="20"/>
        </w:rPr>
        <w:t xml:space="preserve">Business Intelligence:</w:t>
      </w:r>
      <w:r>
        <w:rPr>
          <w:rFonts w:cs="Calibri" w:ascii="Calibri" w:hAnsi="Calibri"/>
          <w:color w:val="002060"/>
          <w:sz w:val="20"/>
          <w:szCs w:val="20"/>
        </w:rPr>
        <w:t xml:space="preserve"> Power BI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sidérurgie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ferroviaire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aéronautique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2060"/>
          <w:sz w:val="20"/>
          <w:szCs w:val="20"/>
        </w:rPr>
        <w:t xml:space="preserve">automobile</w:t>
      </w:r>
      <w:r>
        <w:rPr>
          <w:rFonts w:cs="Calibri" w:ascii="Calibri" w:hAnsi="Calibri"/>
          <w:color w:val="000000"/>
        </w:rPr>
        <w:t xml:space="preserve"/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134" w:leader="none"/>
        </w:tabs>
        <w:spacing w:before="60" w:after="0"/>
        <w:ind w:hanging="0"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Management global des achats et de la chaîne logistique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Paris‑Saclay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Paris,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4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Master Affaires Internationales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 xml:space="preserve"/>
            </w:r>
          </w:p>
          <w:p>
            <w:pPr>
              <w:pStyle w:val="Contenudetableau"/>
              <w:widowControl/>
              <w:numPr>
                <w:ilvl w:val="0"/>
                <w:numId w:val="0"/>
              </w:numPr>
              <w:suppressAutoHyphens w:val="true"/>
              <w:spacing w:lineRule="auto" w:line="240" w:before="0" w:after="0"/>
              <w:ind w:hanging="0" w:left="72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Université Paris Nanterre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/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 xml:space="preserve">Nanterre, France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Anglais :  </w:t>
        <w:tab/>
        <w:t xml:space="preserve">courant (Avancé)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Espagnol :  </w:t>
        <w:tab/>
        <w:t xml:space="preserve">avancé (Maîtrise)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Allemand :  </w:t>
        <w:tab/>
        <w:t xml:space="preserve">intermédiaire (Intermédiaire avancé)</w:t>
      </w:r>
    </w:p>
    <w:p>
      <w:pPr>
        <w:pStyle w:val="Normal"/>
        <w:numPr>
          <w:ilvl w:val="0"/>
          <w:numId w:val="6"/>
        </w:numPr>
        <w:rPr>
          <w:sz w:val="21"/>
          <w:szCs w:val="21"/>
        </w:rPr>
      </w:pPr>
      <w:r>
        <w:rPr>
          <w:rFonts w:cs="Calibri" w:ascii="Calibri" w:hAnsi="Calibri"/>
          <w:color w:val="002060"/>
          <w:sz w:val="21"/>
          <w:szCs w:val="21"/>
        </w:rPr>
        <w:t xml:space="preserve">Portugais :  </w:t>
        <w:tab/>
        <w:t xml:space="preserve">intermédiaire (Intermédiaire)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ERAMET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10.2024 – 04.2025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OFFICINE PANERAI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11.2022 – 09.2024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y compris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ALSTOM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10.2021 – 03.2022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5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ALTEN POUR ARCELORMITTAL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05.2021 – 10.2021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5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 : 1 M€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MASTERIS – GROUPE SNCF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12.2020 – 05.2021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5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ALTRAN POUR AIRBUS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05.2019 – 07.2020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 et 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 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SWISS INTERNATIONAL AIRLINES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01.2017 – 04.2019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2 ans et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RENAULT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09.2015 – 09.2016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Make or Buy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399"/>
        <w:gridCol w:w="2664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 xml:space="preserve">WORLD AND MORE</w:t>
            </w:r>
          </w:p>
        </w:tc>
        <w:tc>
          <w:tcPr>
            <w:tcW w:w="3399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09.2013 – 04.2014</w:t>
            </w:r>
          </w:p>
        </w:tc>
        <w:tc>
          <w:tcPr>
            <w:tcW w:w="2664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contrats‑cadres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3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7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15">
          <wp:simplePos x="0" y="0"/>
          <wp:positionH relativeFrom="column">
            <wp:posOffset>192405</wp:posOffset>
          </wp:positionH>
          <wp:positionV relativeFrom="paragraph">
            <wp:posOffset>-24130</wp:posOffset>
          </wp:positionV>
          <wp:extent cx="1019810" cy="103251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  <w:sz w:val="34"/>
        <w:szCs w:val="34"/>
      </w:rPr>
      <w:t xml:space="preserve">CPE</w:t>
    </w:r>
  </w:p>
  <w:p>
    <w:pPr>
      <w:pStyle w:val="Normal"/>
      <w:jc w:val="right"/>
      <w:rPr>
        <w:b/>
        <w:bCs/>
        <w:color w:val="002060"/>
        <w:sz w:val="40"/>
        <w:szCs w:val="40"/>
      </w:rPr>
    </w:pPr>
    <w:r>
      <w:rPr>
        <w:b/>
        <w:bCs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Application>LibreOffice/24.2.7.2$Linux_X86_64 LibreOffice_project/420$Build-2</Application>
  <AppVersion>15.0000</AppVersion>
  <Pages>1</Pages>
  <Words>188</Words>
  <Characters>1018</Characters>
  <CharactersWithSpaces>1160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2026-01-07T11:54:25Z</dcterms:modified>
  <cp:revision>259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