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9"/>
        <w:rPr>
          <w:sz w:val="21"/>
          <w:szCs w:val="21"/>
        </w:rPr>
      </w:pPr>
      <w:r>
        <w:rPr>
          <w:sz w:val="21"/>
          <w:szCs w:val="21"/>
        </w:rPr>
      </w:r>
    </w:p>
    <w:p>
      <w:pPr>
        <w:pStyle w:val="Normal"/>
        <w:spacing w:before="0" w:after="19"/>
        <w:rPr/>
      </w:pPr>
      <w:r>
        <w:rPr/>
        <mc:AlternateContent>
          <mc:Choice Requires="wps">
            <w:drawing>
              <wp:inline distT="0" distB="0" distL="0" distR="0" wp14:anchorId="66AFEDD7">
                <wp:extent cx="6494145" cy="309880"/>
                <wp:effectExtent l="0" t="0" r="20955" b="13970"/>
                <wp:docPr id="1001" name="Rectangle : coins arrondis 11"/>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600">
                          <a:solidFill>
                            <a:srgbClr val="02466d"/>
                          </a:solidFill>
                          <a:round/>
                        </a:ln>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DOMAINES DE COMPÉTENCES</w:t>
                            </w:r>
                          </w:p>
                        </w:txbxContent>
                      </wps:txbx>
                      <wps:bodyPr anchor="t">
                        <a:noAutofit/>
                      </wps:bodyPr>
                    </wps:wsp>
                  </a:graphicData>
                </a:graphic>
              </wp:inline>
            </w:drawing>
          </mc:Choice>
          <mc:Fallback>
            <w:pict/>
          </mc:Fallback>
        </mc:AlternateContent>
      </w:r>
    </w:p>
    <w:p>
      <w:pPr>
        <w:pStyle w:val="Normal"/>
        <w:rPr>
          <w:sz w:val="16"/>
          <w:szCs w:val="16"/>
        </w:rPr>
      </w:pPr>
      <w:r>
        <w:rPr>
          <w:rFonts w:cs="Calibri" w:ascii="Calibri" w:hAnsi="Calibri"/>
          <w:sz w:val="16"/>
          <w:szCs w:val="16"/>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Élaboration et déploiement de stratégies d’achats, incluant le contract management, la renégociation de contrats‑cadres et la gestion des risques fournisseurs, avec une orientation vers les achats durables et la supply chain.</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Pilotage de projets d’envergure (CAPEX, électrification de flotte, rétrofits aéronautiques, rénovation de métros, conversions automobiles et travaux de génie civil) en assurant le suivi des appels d’offres, le sourcing et la génération d’économies.</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Management fonctionnel d’équipes d’acheteurs et d’assistants, coordination transversale et suivi de la performance des fournisseurs.</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Analyse financière et économique (Make‑or‑Buy, TCO, calcul de savings) pour optimiser les coûts et soutenir la prise de décision stratégique.</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Gestion des réclamations (Claim Management) et conformité juridique des contrats d’achat à l’échelle internationale.</w:t>
      </w:r>
    </w:p>
    <w:p>
      <w:pPr>
        <w:pStyle w:val="Normal"/>
        <w:rPr>
          <w:sz w:val="20"/>
          <w:szCs w:val="20"/>
        </w:rPr>
      </w:pPr>
      <w:r>
        <w:rPr>
          <w:sz w:val="20"/>
          <w:szCs w:val="20"/>
        </w:rPr>
        <w:t xml:space="preserve"/>
      </w:r>
    </w:p>
    <w:p>
      <w:pPr>
        <w:pStyle w:val="Normal"/>
        <w:rPr/>
      </w:pPr>
      <w:r>
        <w:rPr/>
        <mc:AlternateContent>
          <mc:Choice Requires="wps">
            <w:drawing>
              <wp:inline distT="0" distB="0" distL="0" distR="0" wp14:anchorId="0644434D">
                <wp:extent cx="6494145" cy="309880"/>
                <wp:effectExtent l="0" t="0" r="20955" b="13970"/>
                <wp:docPr id="1002" name="Rectangle : coins arrondis 9"/>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600">
                          <a:solidFill>
                            <a:srgbClr val="02466d"/>
                          </a:solidFill>
                          <a:round/>
                        </a:ln>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OUTILS</w:t>
                            </w:r>
                          </w:p>
                        </w:txbxContent>
                      </wps:txbx>
                      <wps:bodyPr anchor="t">
                        <a:noAutofit/>
                      </wps:bodyPr>
                    </wps:wsp>
                  </a:graphicData>
                </a:graphic>
              </wp:inline>
            </w:drawing>
          </mc:Choice>
          <mc:Fallback>
            <w:pict/>
          </mc:Fallback>
        </mc:AlternateConten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pacing w:before="60" w:after="0"/>
        <w:ind w:hanging="567" w:left="1134"/>
        <w:rPr/>
      </w:pPr>
      <w:r>
        <w:rPr>
          <w:rFonts w:cs="Calibri" w:ascii="Calibri" w:hAnsi="Calibri"/>
          <w:b/>
          <w:bCs/>
          <w:color w:val="002060"/>
          <w:sz w:val="20"/>
          <w:szCs w:val="20"/>
        </w:rPr>
        <w:t xml:space="preserve">Bureautique:</w:t>
      </w:r>
      <w:r>
        <w:rPr>
          <w:rFonts w:cs="Calibri" w:ascii="Calibri" w:hAnsi="Calibri"/>
          <w:color w:val="002060"/>
          <w:sz w:val="20"/>
          <w:szCs w:val="20"/>
        </w:rPr>
        <w:t xml:space="preserve"> Microsoft Office</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pacing w:before="60" w:after="0"/>
        <w:ind w:hanging="567" w:left="1134"/>
        <w:rPr/>
      </w:pPr>
      <w:r>
        <w:rPr>
          <w:rFonts w:cs="Calibri" w:ascii="Calibri" w:hAnsi="Calibri"/>
          <w:b/>
          <w:bCs/>
          <w:color w:val="002060"/>
          <w:sz w:val="20"/>
          <w:szCs w:val="20"/>
        </w:rPr>
        <w:t xml:space="preserve">ERP:</w:t>
      </w:r>
      <w:r>
        <w:rPr>
          <w:rFonts w:cs="Calibri" w:ascii="Calibri" w:hAnsi="Calibri"/>
          <w:color w:val="002060"/>
          <w:sz w:val="20"/>
          <w:szCs w:val="20"/>
        </w:rPr>
        <w:t xml:space="preserve"> SAP</w:t>
      </w:r>
    </w:p>
    <w:p>
      <w:pPr>
        <w:pStyle w:val="Normal"/>
        <w:rPr>
          <w:sz w:val="16"/>
          <w:szCs w:val="16"/>
        </w:rPr>
      </w:pPr>
      <w:r>
        <w:rPr>
          <w:rFonts w:ascii="Calibri" w:hAnsi="Calibri"/>
          <w:sz w:val="16"/>
          <w:szCs w:val="16"/>
        </w:rPr>
        <w:t xml:space="preserve"/>
      </w:r>
    </w:p>
    <w:p>
      <w:pPr>
        <w:pStyle w:val="Normal"/>
        <w:spacing w:before="0" w:after="19"/>
        <w:rPr/>
      </w:pPr>
      <w:r>
        <w:rPr/>
        <mc:AlternateContent>
          <mc:Choice Requires="wps">
            <w:drawing>
              <wp:inline distT="0" distB="0" distL="0" distR="0" wp14:anchorId="03D68D8F">
                <wp:extent cx="6494145" cy="309880"/>
                <wp:effectExtent l="0" t="0" r="20955" b="13970"/>
                <wp:docPr id="1003" name="Rectangle : coins arrondis 7"/>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600">
                          <a:solidFill>
                            <a:srgbClr val="02466d"/>
                          </a:solidFill>
                          <a:round/>
                        </a:ln>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SECTEURS D’ACTIVITÉ</w:t>
                            </w:r>
                          </w:p>
                        </w:txbxContent>
                      </wps:txbx>
                      <wps:bodyPr anchor="t">
                        <a:noAutofit/>
                      </wps:bodyPr>
                    </wps:wsp>
                  </a:graphicData>
                </a:graphic>
              </wp:inline>
            </w:drawing>
          </mc:Choice>
          <mc:Fallback>
            <w:pict/>
          </mc:Fallback>
        </mc:AlternateContent>
      </w:r>
    </w:p>
    <w:p>
      <w:pPr>
        <w:pStyle w:val="Normal"/>
        <w:spacing w:before="0" w:after="19"/>
        <w:rPr>
          <w:sz w:val="16"/>
          <w:szCs w:val="16"/>
        </w:rPr>
      </w:pPr>
      <w:r>
        <w:rPr>
          <w:rFonts w:ascii="Calibri" w:hAnsi="Calibri"/>
          <w:sz w:val="16"/>
          <w:szCs w:val="16"/>
        </w:rPr>
        <w:t xml:space="preserve"/>
      </w:r>
    </w:p>
    <w:p>
      <w:pPr>
        <w:pStyle w:val="Normal"/>
        <w:numPr>
          <w:ilvl w:val="0"/>
          <w:numId w:val="3"/>
        </w:numPr>
        <w:tabs>
          <w:tab w:val="clear" w:pos="708"/>
          <w:tab w:val="left" w:pos="1134" w:leader="none"/>
        </w:tabs>
        <w:spacing w:before="60" w:after="0"/>
        <w:ind w:hanging="567" w:left="1134"/>
        <w:rPr/>
      </w:pPr>
      <w:r>
        <w:rPr>
          <w:rFonts w:cs="Calibri" w:ascii="Calibri" w:hAnsi="Calibri"/>
          <w:color w:val="002060"/>
          <w:sz w:val="20"/>
          <w:szCs w:val="20"/>
        </w:rPr>
        <w:t xml:space="preserve">sidérurgie</w:t>
      </w:r>
      <w:r>
        <w:rPr>
          <w:rFonts w:cs="Calibri" w:ascii="Calibri" w:hAnsi="Calibri"/>
          <w:color w:val="000000"/>
        </w:rPr>
        <w:t xml:space="preserve"/>
      </w:r>
    </w:p>
    <w:p>
      <w:pPr>
        <w:pStyle w:val="Normal"/>
        <w:numPr>
          <w:ilvl w:val="0"/>
          <w:numId w:val="3"/>
        </w:numPr>
        <w:tabs>
          <w:tab w:val="clear" w:pos="708"/>
          <w:tab w:val="left" w:pos="1134" w:leader="none"/>
        </w:tabs>
        <w:spacing w:before="60" w:after="0"/>
        <w:ind w:hanging="567" w:left="1134"/>
        <w:rPr/>
      </w:pPr>
      <w:r>
        <w:rPr>
          <w:rFonts w:cs="Calibri" w:ascii="Calibri" w:hAnsi="Calibri"/>
          <w:color w:val="002060"/>
          <w:sz w:val="20"/>
          <w:szCs w:val="20"/>
        </w:rPr>
        <w:t xml:space="preserve">ferroviaire</w:t>
      </w:r>
      <w:r>
        <w:rPr>
          <w:rFonts w:cs="Calibri" w:ascii="Calibri" w:hAnsi="Calibri"/>
          <w:color w:val="000000"/>
        </w:rPr>
        <w:t xml:space="preserve"/>
      </w:r>
    </w:p>
    <w:p>
      <w:pPr>
        <w:pStyle w:val="Normal"/>
        <w:numPr>
          <w:ilvl w:val="0"/>
          <w:numId w:val="3"/>
        </w:numPr>
        <w:tabs>
          <w:tab w:val="clear" w:pos="708"/>
          <w:tab w:val="left" w:pos="1134" w:leader="none"/>
        </w:tabs>
        <w:spacing w:before="60" w:after="0"/>
        <w:ind w:hanging="567" w:left="1134"/>
        <w:rPr/>
      </w:pPr>
      <w:r>
        <w:rPr>
          <w:rFonts w:cs="Calibri" w:ascii="Calibri" w:hAnsi="Calibri"/>
          <w:color w:val="002060"/>
          <w:sz w:val="20"/>
          <w:szCs w:val="20"/>
        </w:rPr>
        <w:t xml:space="preserve">aéronautique</w:t>
      </w:r>
      <w:r>
        <w:rPr>
          <w:rFonts w:cs="Calibri" w:ascii="Calibri" w:hAnsi="Calibri"/>
          <w:color w:val="000000"/>
        </w:rPr>
        <w:t xml:space="preserve"/>
      </w:r>
    </w:p>
    <w:p>
      <w:pPr>
        <w:pStyle w:val="Normal"/>
        <w:numPr>
          <w:ilvl w:val="0"/>
          <w:numId w:val="3"/>
        </w:numPr>
        <w:tabs>
          <w:tab w:val="clear" w:pos="708"/>
          <w:tab w:val="left" w:pos="1134" w:leader="none"/>
        </w:tabs>
        <w:spacing w:before="60" w:after="0"/>
        <w:ind w:hanging="567" w:left="1134"/>
        <w:rPr/>
      </w:pPr>
      <w:r>
        <w:rPr>
          <w:rFonts w:cs="Calibri" w:ascii="Calibri" w:hAnsi="Calibri"/>
          <w:color w:val="002060"/>
          <w:sz w:val="20"/>
          <w:szCs w:val="20"/>
        </w:rPr>
        <w:t xml:space="preserve">automobile</w:t>
      </w:r>
      <w:r>
        <w:rPr>
          <w:rFonts w:cs="Calibri" w:ascii="Calibri" w:hAnsi="Calibri"/>
          <w:color w:val="000000"/>
        </w:rPr>
        <w:t xml:space="preserve"/>
      </w:r>
    </w:p>
    <w:p>
      <w:pPr>
        <w:pStyle w:val="Normal"/>
        <w:numPr>
          <w:ilvl w:val="0"/>
          <w:numId w:val="3"/>
        </w:numPr>
        <w:tabs>
          <w:tab w:val="clear" w:pos="708"/>
          <w:tab w:val="left" w:pos="1134" w:leader="none"/>
        </w:tabs>
        <w:spacing w:before="60" w:after="0"/>
        <w:ind w:hanging="567" w:left="1134"/>
        <w:rPr/>
      </w:pPr>
      <w:r>
        <w:rPr>
          <w:rFonts w:cs="Calibri" w:ascii="Calibri" w:hAnsi="Calibri"/>
          <w:color w:val="002060"/>
          <w:sz w:val="20"/>
          <w:szCs w:val="20"/>
        </w:rPr>
        <w:t xml:space="preserve">alimentaire</w:t>
      </w:r>
      <w:r>
        <w:rPr>
          <w:rFonts w:cs="Calibri" w:ascii="Calibri" w:hAnsi="Calibri"/>
          <w:color w:val="000000"/>
        </w:rPr>
        <w:t xml:space="preserve"/>
      </w:r>
    </w:p>
    <w:p>
      <w:pPr>
        <w:pStyle w:val="Normal"/>
        <w:numPr>
          <w:ilvl w:val="0"/>
          <w:numId w:val="3"/>
        </w:numPr>
        <w:tabs>
          <w:tab w:val="clear" w:pos="708"/>
          <w:tab w:val="left" w:pos="1134" w:leader="none"/>
        </w:tabs>
        <w:spacing w:before="60" w:after="0"/>
        <w:ind w:hanging="567" w:left="1134"/>
        <w:rPr/>
      </w:pPr>
      <w:r>
        <w:rPr>
          <w:rFonts w:cs="Calibri" w:ascii="Calibri" w:hAnsi="Calibri"/>
          <w:color w:val="002060"/>
          <w:sz w:val="20"/>
          <w:szCs w:val="20"/>
        </w:rPr>
        <w:t xml:space="preserve">transport aérien</w:t>
      </w:r>
      <w:r>
        <w:rPr>
          <w:rFonts w:cs="Calibri" w:ascii="Calibri" w:hAnsi="Calibri"/>
          <w:color w:val="000000"/>
        </w:rPr>
        <w:t xml:space="preserve"/>
      </w:r>
    </w:p>
    <w:p>
      <w:pPr>
        <w:pStyle w:val="Normal"/>
        <w:numPr>
          <w:ilvl w:val="0"/>
          <w:numId w:val="0"/>
        </w:numPr>
        <w:tabs>
          <w:tab w:val="clear" w:pos="708"/>
          <w:tab w:val="left" w:pos="1134" w:leader="none"/>
        </w:tabs>
        <w:spacing w:before="60" w:after="0"/>
        <w:ind w:hanging="0" w:left="1134"/>
        <w:rPr>
          <w:rFonts w:ascii="Calibri" w:hAnsi="Calibri" w:cs="Calibri"/>
          <w:color w:val="000000"/>
        </w:rPr>
      </w:pPr>
      <w:r>
        <w:rPr>
          <w:rFonts w:cs="Calibri" w:ascii="Calibri" w:hAnsi="Calibri"/>
          <w:color w:val="000000"/>
        </w:rPr>
      </w:r>
    </w:p>
    <w:p>
      <w:pPr>
        <w:pStyle w:val="Normal"/>
        <w:rPr/>
      </w:pPr>
      <w:r>
        <w:rPr/>
        <mc:AlternateContent>
          <mc:Choice Requires="wps">
            <w:drawing>
              <wp:inline distT="0" distB="0" distL="0" distR="0" wp14:anchorId="59015D59">
                <wp:extent cx="6494145" cy="309880"/>
                <wp:effectExtent l="0" t="0" r="20955" b="13970"/>
                <wp:docPr id="1004" name="Rectangle : coins arrondis 5"/>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600">
                          <a:solidFill>
                            <a:srgbClr val="02466d"/>
                          </a:solidFill>
                          <a:round/>
                        </a:ln>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DIPLÔMES / FORMATION</w:t>
                            </w:r>
                          </w:p>
                        </w:txbxContent>
                      </wps:txbx>
                      <wps:bodyPr anchor="t">
                        <a:noAutofit/>
                      </wps:bodyPr>
                    </wps:wsp>
                  </a:graphicData>
                </a:graphic>
              </wp:inline>
            </w:drawing>
          </mc:Choice>
          <mc:Fallback>
            <w:pict/>
          </mc:Fallback>
        </mc:AlternateContent>
      </w:r>
    </w:p>
    <w:p>
      <w:pPr>
        <w:pStyle w:val="Normal"/>
        <w:rPr>
          <w:sz w:val="21"/>
          <w:szCs w:val="21"/>
        </w:rPr>
      </w:pPr>
      <w:r>
        <w:rPr>
          <w:rFonts w:ascii="Calibri" w:hAnsi="Calibri"/>
          <w:sz w:val="21"/>
          <w:szCs w:val="21"/>
        </w:rPr>
        <w:t xml:space="preserve"/>
      </w:r>
    </w:p>
    <w:tbl>
      <w:tblPr>
        <w:tblStyle w:val="PlainTable1"/>
        <w:tblW w:w="10218" w:type="dxa"/>
        <w:jc w:val="left"/>
        <w:tblInd w:w="0" w:type="dxa"/>
        <w:tblLayout w:type="fixed"/>
        <w:tblCellMar>
          <w:top w:w="0" w:type="dxa"/>
          <w:left w:w="5" w:type="dxa"/>
          <w:bottom w:w="0" w:type="dxa"/>
          <w:right w:w="5" w:type="dxa"/>
        </w:tblCellMar>
      </w:tblPr>
      <w:tblGrid>
        <w:gridCol w:w="7481"/>
        <w:gridCol w:w="2736"/>
      </w:tblGrid>
      <w:tr>
        <w:trPr>
          <w:trHeight w:val="300" w:hRule="atLeast"/>
        </w:trPr>
        <w:tc>
          <w:tcPr>
            <w:tcW w:w="7481" w:type="dxa"/>
            <w:cnfStyle w:val="001000000000" w:firstRow="0" w:lastRow="0" w:firstColumn="1" w:lastColumn="0" w:oddVBand="0" w:evenVBand="0" w:oddHBand="0" w:evenHBand="0" w:firstRowFirstColumn="0" w:firstRowLastColumn="0" w:lastRowFirstColumn="0" w:lastRowLastColumn="0"/>
            <w:tcBorders>
              <w:top w:val="single" w:sz="4" w:space="0" w:color="FFFFFF"/>
              <w:left w:val="single" w:sz="4" w:space="0" w:color="FFFFFF"/>
              <w:bottom w:val="single" w:sz="4" w:space="0" w:color="FFFFFF"/>
              <w:right w:val="single" w:sz="4" w:space="0" w:color="FFFFFF"/>
            </w:tcBorders>
          </w:tcPr>
          <w:p>
            <w:pPr>
              <w:pStyle w:val="Contenudetableau"/>
              <w:widowControl/>
              <w:numPr>
                <w:ilvl w:val="0"/>
                <w:numId w:val="4"/>
              </w:numPr>
              <w:suppressAutoHyphens w:val="true"/>
              <w:spacing w:lineRule="auto" w:line="240" w:before="0" w:after="0"/>
              <w:jc w:val="left"/>
              <w:rPr>
                <w:rFonts w:ascii="Calibri" w:hAnsi="Calibri" w:eastAsia="Calibri" w:cs=""/>
                <w:b/>
                <w:bCs/>
                <w:kern w:val="0"/>
                <w:sz w:val="22"/>
                <w:szCs w:val="22"/>
                <w:lang w:val="fr-FR" w:eastAsia="en-US" w:bidi="ar-SA"/>
              </w:rPr>
            </w:pPr>
            <w:r>
              <w:rPr>
                <w:rFonts w:eastAsia="Calibri" w:cs="" w:ascii="Calibri" w:hAnsi="Calibri"/>
                <w:b/>
                <w:bCs/>
                <w:kern w:val="0"/>
                <w:sz w:val="20"/>
                <w:szCs w:val="20"/>
                <w:lang w:val="fr-FR" w:eastAsia="en-US" w:bidi="ar-SA"/>
              </w:rPr>
              <w:t xml:space="preserve"/>
            </w:r>
            <w:r>
              <w:rPr>
                <w:rFonts w:eastAsia="Calibri" w:cs="" w:ascii="Calibri" w:hAnsi="Calibri"/>
                <w:b w:val="false"/>
                <w:bCs w:val="false"/>
                <w:color w:val="002060"/>
                <w:kern w:val="0"/>
                <w:sz w:val="22"/>
                <w:szCs w:val="22"/>
                <w:lang w:val="fr-FR" w:eastAsia="en-US" w:bidi="ar-SA"/>
              </w:rPr>
              <w:t xml:space="preserve">Master Management Global des Achats et de la Chaîne Logistique</w:t>
            </w:r>
            <w:r>
              <w:rPr>
                <w:rFonts w:eastAsia="Calibri" w:cs="" w:ascii="Calibri" w:hAnsi="Calibri"/>
                <w:b/>
                <w:bCs/>
                <w:kern w:val="0"/>
                <w:sz w:val="20"/>
                <w:szCs w:val="20"/>
                <w:lang w:val="fr-FR" w:eastAsia="en-US" w:bidi="ar-SA"/>
              </w:rPr>
              <w:t xml:space="preserve"/>
            </w:r>
          </w:p>
          <w:p>
            <w:pPr>
              <w:pStyle w:val="Contenudetableau"/>
              <w:widowControl/>
              <w:numPr>
                <w:ilvl w:val="0"/>
                <w:numId w:val="0"/>
              </w:numPr>
              <w:suppressAutoHyphens w:val="true"/>
              <w:spacing w:lineRule="auto" w:line="240" w:before="0" w:after="0"/>
              <w:ind w:hanging="0" w:left="720"/>
              <w:jc w:val="left"/>
              <w:rPr>
                <w:rFonts w:ascii="Calibri" w:hAnsi="Calibri"/>
                <w:sz w:val="20"/>
                <w:szCs w:val="20"/>
              </w:rPr>
            </w:pPr>
            <w:r>
              <w:rPr>
                <w:rFonts w:eastAsia="Calibri" w:cs="Calibri" w:ascii="Calibri" w:hAnsi="Calibri"/>
                <w:b w:val="false"/>
                <w:bCs w:val="false"/>
                <w:color w:val="002060"/>
                <w:kern w:val="0"/>
                <w:sz w:val="20"/>
                <w:szCs w:val="20"/>
                <w:lang w:val="fr-FR" w:eastAsia="en-US" w:bidi="ar-SA"/>
              </w:rPr>
              <w:t xml:space="preserve">Université Paris‑Saclay</w:t>
            </w:r>
            <w:r>
              <w:rPr>
                <w:rFonts w:eastAsia="Calibri" w:cs="Calibri" w:ascii="Calibri" w:hAnsi="Calibri"/>
                <w:b w:val="false"/>
                <w:bCs w:val="false"/>
                <w:color w:val="auto"/>
                <w:kern w:val="0"/>
                <w:sz w:val="20"/>
                <w:szCs w:val="20"/>
                <w:lang w:val="fr-FR" w:eastAsia="en-US" w:bidi="ar-SA"/>
              </w:rPr>
              <w:t xml:space="preserve"/>
            </w:r>
            <w:r>
              <w:rPr>
                <w:rFonts w:eastAsia="Calibri" w:cs="Calibri" w:ascii="Calibri" w:hAnsi="Calibri"/>
                <w:b w:val="false"/>
                <w:bCs w:val="false"/>
                <w:color w:val="002060"/>
                <w:kern w:val="0"/>
                <w:sz w:val="20"/>
                <w:szCs w:val="20"/>
                <w:lang w:val="fr-FR" w:eastAsia="en-US" w:bidi="ar-SA"/>
              </w:rPr>
              <w:t xml:space="preserve">,</w:t>
            </w:r>
            <w:r>
              <w:rPr>
                <w:rFonts w:eastAsia="Calibri" w:cs="Calibri" w:ascii="Calibri" w:hAnsi="Calibri"/>
                <w:b w:val="false"/>
                <w:bCs w:val="false"/>
                <w:color w:val="auto"/>
                <w:kern w:val="0"/>
                <w:sz w:val="20"/>
                <w:szCs w:val="20"/>
                <w:lang w:val="fr-FR" w:eastAsia="en-US" w:bidi="ar-SA"/>
              </w:rPr>
              <w:t xml:space="preserve"> </w:t>
            </w:r>
            <w:r>
              <w:rPr>
                <w:rFonts w:eastAsia="Calibri" w:cs="Calibri" w:ascii="Calibri" w:hAnsi="Calibri"/>
                <w:b w:val="false"/>
                <w:bCs w:val="false"/>
                <w:color w:val="002060"/>
                <w:kern w:val="0"/>
                <w:sz w:val="20"/>
                <w:szCs w:val="20"/>
                <w:lang w:val="fr-FR" w:eastAsia="en-US" w:bidi="ar-SA"/>
              </w:rPr>
              <w:t xml:space="preserve">Paris, France</w:t>
            </w:r>
          </w:p>
        </w:tc>
        <w:tc>
          <w:tcPr>
            <w:tcW w:w="2736" w:type="dxa"/>
            <w:cnfStyle w:val="000000000000" w:firstRow="0" w:lastRow="0" w:firstColumn="0" w:lastColumn="0" w:oddVBand="0" w:evenVBand="0" w:oddHBand="0" w:evenHBand="0" w:firstRowFirstColumn="0" w:firstRowLastColumn="0" w:lastRowFirstColumn="0" w:lastRowLastColumn="0"/>
            <w:tcBorders>
              <w:top w:val="single" w:sz="4" w:space="0" w:color="FFFFFF"/>
              <w:left w:val="single" w:sz="4" w:space="0" w:color="FFFFFF"/>
              <w:bottom w:val="single" w:sz="4" w:space="0" w:color="FFFFFF"/>
              <w:right w:val="single" w:sz="4" w:space="0" w:color="FFFFFF"/>
            </w:tcBorders>
          </w:tcPr>
          <w:p>
            <w:pPr>
              <w:pStyle w:val="Contenudetableau"/>
              <w:widowControl/>
              <w:suppressAutoHyphens w:val="true"/>
              <w:spacing w:lineRule="auto" w:line="240" w:before="0" w:after="0"/>
              <w:jc w:val="center"/>
              <w:rPr>
                <w:b w:val="false"/>
                <w:bCs w:val="false"/>
              </w:rPr>
            </w:pPr>
            <w:r>
              <w:rPr>
                <w:rFonts w:eastAsia="Calibri" w:cs="" w:ascii="Calibri" w:hAnsi="Calibri"/>
                <w:b w:val="false"/>
                <w:bCs w:val="false"/>
                <w:color w:val="002060"/>
                <w:kern w:val="0"/>
                <w:sz w:val="22"/>
                <w:szCs w:val="22"/>
                <w:lang w:val="fr-FR" w:eastAsia="en-US" w:bidi="ar-SA"/>
              </w:rPr>
              <w:t xml:space="preserve">2016</w:t>
            </w:r>
          </w:p>
        </w:tc>
      </w:tr>
    </w:tbl>
    <w:p>
      <w:pPr>
        <w:pStyle w:val="Normal"/>
        <w:rPr>
          <w:sz w:val="21"/>
          <w:szCs w:val="21"/>
        </w:rPr>
      </w:pPr>
      <w:r>
        <w:rPr>
          <w:rFonts w:ascii="Calibri" w:hAnsi="Calibri"/>
          <w:sz w:val="21"/>
          <w:szCs w:val="21"/>
        </w:rPr>
        <w:t xml:space="preserve"/>
      </w:r>
    </w:p>
    <w:tbl>
      <w:tblPr>
        <w:tblStyle w:val="PlainTable1"/>
        <w:tblW w:w="10218" w:type="dxa"/>
        <w:jc w:val="left"/>
        <w:tblInd w:w="0" w:type="dxa"/>
        <w:tblLayout w:type="fixed"/>
        <w:tblCellMar>
          <w:top w:w="0" w:type="dxa"/>
          <w:left w:w="5" w:type="dxa"/>
          <w:bottom w:w="0" w:type="dxa"/>
          <w:right w:w="5" w:type="dxa"/>
        </w:tblCellMar>
      </w:tblPr>
      <w:tblGrid>
        <w:gridCol w:w="7481"/>
        <w:gridCol w:w="2736"/>
      </w:tblGrid>
      <w:tr>
        <w:trPr>
          <w:trHeight w:val="300" w:hRule="atLeast"/>
        </w:trPr>
        <w:tc>
          <w:tcPr>
            <w:tcW w:w="7481" w:type="dxa"/>
            <w:cnfStyle w:val="001000000000" w:firstRow="0" w:lastRow="0" w:firstColumn="1" w:lastColumn="0" w:oddVBand="0" w:evenVBand="0" w:oddHBand="0" w:evenHBand="0" w:firstRowFirstColumn="0" w:firstRowLastColumn="0" w:lastRowFirstColumn="0" w:lastRowLastColumn="0"/>
            <w:tcBorders>
              <w:top w:val="single" w:sz="4" w:space="0" w:color="FFFFFF"/>
              <w:left w:val="single" w:sz="4" w:space="0" w:color="FFFFFF"/>
              <w:bottom w:val="single" w:sz="4" w:space="0" w:color="FFFFFF"/>
              <w:right w:val="single" w:sz="4" w:space="0" w:color="FFFFFF"/>
            </w:tcBorders>
          </w:tcPr>
          <w:p>
            <w:pPr>
              <w:pStyle w:val="Contenudetableau"/>
              <w:widowControl/>
              <w:numPr>
                <w:ilvl w:val="0"/>
                <w:numId w:val="4"/>
              </w:numPr>
              <w:suppressAutoHyphens w:val="true"/>
              <w:spacing w:lineRule="auto" w:line="240" w:before="0" w:after="0"/>
              <w:jc w:val="left"/>
              <w:rPr>
                <w:rFonts w:ascii="Calibri" w:hAnsi="Calibri" w:eastAsia="Calibri" w:cs=""/>
                <w:b/>
                <w:bCs/>
                <w:kern w:val="0"/>
                <w:sz w:val="22"/>
                <w:szCs w:val="22"/>
                <w:lang w:val="fr-FR" w:eastAsia="en-US" w:bidi="ar-SA"/>
              </w:rPr>
            </w:pPr>
            <w:r>
              <w:rPr>
                <w:rFonts w:eastAsia="Calibri" w:cs="" w:ascii="Calibri" w:hAnsi="Calibri"/>
                <w:b/>
                <w:bCs/>
                <w:kern w:val="0"/>
                <w:sz w:val="20"/>
                <w:szCs w:val="20"/>
                <w:lang w:val="fr-FR" w:eastAsia="en-US" w:bidi="ar-SA"/>
              </w:rPr>
              <w:t xml:space="preserve"/>
            </w:r>
            <w:r>
              <w:rPr>
                <w:rFonts w:eastAsia="Calibri" w:cs="" w:ascii="Calibri" w:hAnsi="Calibri"/>
                <w:b w:val="false"/>
                <w:bCs w:val="false"/>
                <w:color w:val="002060"/>
                <w:kern w:val="0"/>
                <w:sz w:val="22"/>
                <w:szCs w:val="22"/>
                <w:lang w:val="fr-FR" w:eastAsia="en-US" w:bidi="ar-SA"/>
              </w:rPr>
              <w:t xml:space="preserve">Master Affaires Internationales</w:t>
            </w:r>
            <w:r>
              <w:rPr>
                <w:rFonts w:eastAsia="Calibri" w:cs="" w:ascii="Calibri" w:hAnsi="Calibri"/>
                <w:b/>
                <w:bCs/>
                <w:kern w:val="0"/>
                <w:sz w:val="20"/>
                <w:szCs w:val="20"/>
                <w:lang w:val="fr-FR" w:eastAsia="en-US" w:bidi="ar-SA"/>
              </w:rPr>
              <w:t xml:space="preserve"/>
            </w:r>
          </w:p>
          <w:p>
            <w:pPr>
              <w:pStyle w:val="Contenudetableau"/>
              <w:widowControl/>
              <w:numPr>
                <w:ilvl w:val="0"/>
                <w:numId w:val="0"/>
              </w:numPr>
              <w:suppressAutoHyphens w:val="true"/>
              <w:spacing w:lineRule="auto" w:line="240" w:before="0" w:after="0"/>
              <w:ind w:hanging="0" w:left="720"/>
              <w:jc w:val="left"/>
              <w:rPr>
                <w:rFonts w:ascii="Calibri" w:hAnsi="Calibri"/>
                <w:sz w:val="20"/>
                <w:szCs w:val="20"/>
              </w:rPr>
            </w:pPr>
            <w:r>
              <w:rPr>
                <w:rFonts w:eastAsia="Calibri" w:cs="Calibri" w:ascii="Calibri" w:hAnsi="Calibri"/>
                <w:b w:val="false"/>
                <w:bCs w:val="false"/>
                <w:color w:val="002060"/>
                <w:kern w:val="0"/>
                <w:sz w:val="20"/>
                <w:szCs w:val="20"/>
                <w:lang w:val="fr-FR" w:eastAsia="en-US" w:bidi="ar-SA"/>
              </w:rPr>
              <w:t xml:space="preserve">Université Paris Nanterre</w:t>
            </w:r>
            <w:r>
              <w:rPr>
                <w:rFonts w:eastAsia="Calibri" w:cs="Calibri" w:ascii="Calibri" w:hAnsi="Calibri"/>
                <w:b w:val="false"/>
                <w:bCs w:val="false"/>
                <w:color w:val="auto"/>
                <w:kern w:val="0"/>
                <w:sz w:val="20"/>
                <w:szCs w:val="20"/>
                <w:lang w:val="fr-FR" w:eastAsia="en-US" w:bidi="ar-SA"/>
              </w:rPr>
              <w:t xml:space="preserve"/>
            </w:r>
            <w:r>
              <w:rPr>
                <w:rFonts w:eastAsia="Calibri" w:cs="Calibri" w:ascii="Calibri" w:hAnsi="Calibri"/>
                <w:b w:val="false"/>
                <w:bCs w:val="false"/>
                <w:color w:val="002060"/>
                <w:kern w:val="0"/>
                <w:sz w:val="20"/>
                <w:szCs w:val="20"/>
                <w:lang w:val="fr-FR" w:eastAsia="en-US" w:bidi="ar-SA"/>
              </w:rPr>
              <w:t xml:space="preserve">,</w:t>
            </w:r>
            <w:r>
              <w:rPr>
                <w:rFonts w:eastAsia="Calibri" w:cs="Calibri" w:ascii="Calibri" w:hAnsi="Calibri"/>
                <w:b w:val="false"/>
                <w:bCs w:val="false"/>
                <w:color w:val="auto"/>
                <w:kern w:val="0"/>
                <w:sz w:val="20"/>
                <w:szCs w:val="20"/>
                <w:lang w:val="fr-FR" w:eastAsia="en-US" w:bidi="ar-SA"/>
              </w:rPr>
              <w:t xml:space="preserve"> </w:t>
            </w:r>
            <w:r>
              <w:rPr>
                <w:rFonts w:eastAsia="Calibri" w:cs="Calibri" w:ascii="Calibri" w:hAnsi="Calibri"/>
                <w:b w:val="false"/>
                <w:bCs w:val="false"/>
                <w:color w:val="002060"/>
                <w:kern w:val="0"/>
                <w:sz w:val="20"/>
                <w:szCs w:val="20"/>
                <w:lang w:val="fr-FR" w:eastAsia="en-US" w:bidi="ar-SA"/>
              </w:rPr>
              <w:t xml:space="preserve">Nanterre, France</w:t>
            </w:r>
          </w:p>
        </w:tc>
        <w:tc>
          <w:tcPr>
            <w:tcW w:w="2736" w:type="dxa"/>
            <w:cnfStyle w:val="000000000000" w:firstRow="0" w:lastRow="0" w:firstColumn="0" w:lastColumn="0" w:oddVBand="0" w:evenVBand="0" w:oddHBand="0" w:evenHBand="0" w:firstRowFirstColumn="0" w:firstRowLastColumn="0" w:lastRowFirstColumn="0" w:lastRowLastColumn="0"/>
            <w:tcBorders>
              <w:top w:val="single" w:sz="4" w:space="0" w:color="FFFFFF"/>
              <w:left w:val="single" w:sz="4" w:space="0" w:color="FFFFFF"/>
              <w:bottom w:val="single" w:sz="4" w:space="0" w:color="FFFFFF"/>
              <w:right w:val="single" w:sz="4" w:space="0" w:color="FFFFFF"/>
            </w:tcBorders>
          </w:tcPr>
          <w:p>
            <w:pPr>
              <w:pStyle w:val="Contenudetableau"/>
              <w:widowControl/>
              <w:suppressAutoHyphens w:val="true"/>
              <w:spacing w:lineRule="auto" w:line="240" w:before="0" w:after="0"/>
              <w:jc w:val="center"/>
              <w:rPr>
                <w:b w:val="false"/>
                <w:bCs w:val="false"/>
              </w:rPr>
            </w:pPr>
            <w:r>
              <w:rPr>
                <w:rFonts w:eastAsia="Calibri" w:cs="" w:ascii="Calibri" w:hAnsi="Calibri"/>
                <w:b w:val="false"/>
                <w:bCs w:val="false"/>
                <w:color w:val="002060"/>
                <w:kern w:val="0"/>
                <w:sz w:val="22"/>
                <w:szCs w:val="22"/>
                <w:lang w:val="fr-FR" w:eastAsia="en-US" w:bidi="ar-SA"/>
              </w:rPr>
              <w:t xml:space="preserve">2014</w:t>
            </w:r>
          </w:p>
        </w:tc>
      </w:tr>
    </w:tbl>
    <w:p>
      <w:pPr>
        <w:pStyle w:val="Normal"/>
        <w:rPr>
          <w:sz w:val="21"/>
          <w:szCs w:val="21"/>
        </w:rPr>
      </w:pPr>
      <w:r>
        <w:rPr>
          <w:rFonts w:ascii="Calibri" w:hAnsi="Calibri"/>
          <w:sz w:val="21"/>
          <w:szCs w:val="21"/>
        </w:rPr>
        <w:t xml:space="preserve"/>
      </w:r>
      <w:r>
        <w:rPr>
          <w:sz w:val="21"/>
          <w:szCs w:val="21"/>
        </w:rPr>
        <w:t xml:space="preserve"/>
      </w:r>
    </w:p>
    <w:p>
      <w:pPr>
        <w:pStyle w:val="Normal"/>
        <w:rPr/>
      </w:pPr>
      <w:r>
        <w:rPr/>
        <mc:AlternateContent>
          <mc:Choice Requires="wps">
            <w:drawing>
              <wp:inline distT="0" distB="0" distL="0" distR="0" wp14:anchorId="2466F43A">
                <wp:extent cx="6494145" cy="309880"/>
                <wp:effectExtent l="0" t="0" r="20955" b="13970"/>
                <wp:docPr id="1005" name="Rectangle : coins arrondis 3"/>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600">
                          <a:solidFill>
                            <a:srgbClr val="02466d"/>
                          </a:solidFill>
                          <a:round/>
                        </a:ln>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LANGUES</w:t>
                            </w:r>
                          </w:p>
                        </w:txbxContent>
                      </wps:txbx>
                      <wps:bodyPr anchor="t">
                        <a:noAutofit/>
                      </wps:bodyPr>
                    </wps:wsp>
                  </a:graphicData>
                </a:graphic>
              </wp:inline>
            </w:drawing>
          </mc:Choice>
          <mc:Fallback>
            <w:pict/>
          </mc:Fallback>
        </mc:AlternateContent>
      </w:r>
    </w:p>
    <w:p>
      <w:pPr>
        <w:pStyle w:val="Normal"/>
        <w:rPr>
          <w:sz w:val="21"/>
          <w:szCs w:val="21"/>
        </w:rPr>
      </w:pPr>
      <w:r>
        <w:rPr>
          <w:rFonts w:ascii="Calibri" w:hAnsi="Calibri"/>
          <w:sz w:val="21"/>
          <w:szCs w:val="21"/>
        </w:rPr>
        <w:t xml:space="preserve"/>
      </w:r>
    </w:p>
    <w:p>
      <w:pPr>
        <w:pStyle w:val="Normal"/>
        <w:numPr>
          <w:ilvl w:val="0"/>
          <w:numId w:val="6"/>
        </w:numPr>
        <w:rPr>
          <w:sz w:val="21"/>
          <w:szCs w:val="21"/>
        </w:rPr>
      </w:pPr>
      <w:r>
        <w:rPr>
          <w:rFonts w:cs="Calibri" w:ascii="Calibri" w:hAnsi="Calibri"/>
          <w:color w:val="002060"/>
          <w:sz w:val="21"/>
          <w:szCs w:val="21"/>
        </w:rPr>
        <w:t xml:space="preserve">Anglais :  </w:t>
        <w:tab/>
        <w:t xml:space="preserve">C1</w:t>
      </w:r>
    </w:p>
    <w:p>
      <w:pPr>
        <w:pStyle w:val="Normal"/>
        <w:numPr>
          <w:ilvl w:val="0"/>
          <w:numId w:val="6"/>
        </w:numPr>
        <w:rPr>
          <w:sz w:val="21"/>
          <w:szCs w:val="21"/>
        </w:rPr>
      </w:pPr>
      <w:r>
        <w:rPr>
          <w:rFonts w:cs="Calibri" w:ascii="Calibri" w:hAnsi="Calibri"/>
          <w:color w:val="002060"/>
          <w:sz w:val="21"/>
          <w:szCs w:val="21"/>
        </w:rPr>
        <w:t xml:space="preserve">Espagnol :  </w:t>
        <w:tab/>
        <w:t xml:space="preserve">C2</w:t>
      </w:r>
    </w:p>
    <w:p>
      <w:pPr>
        <w:pStyle w:val="Normal"/>
        <w:numPr>
          <w:ilvl w:val="0"/>
          <w:numId w:val="6"/>
        </w:numPr>
        <w:rPr>
          <w:sz w:val="21"/>
          <w:szCs w:val="21"/>
        </w:rPr>
      </w:pPr>
      <w:r>
        <w:rPr>
          <w:rFonts w:cs="Calibri" w:ascii="Calibri" w:hAnsi="Calibri"/>
          <w:color w:val="002060"/>
          <w:sz w:val="21"/>
          <w:szCs w:val="21"/>
        </w:rPr>
        <w:t xml:space="preserve">Allemand :  </w:t>
        <w:tab/>
        <w:t xml:space="preserve">B2</w:t>
      </w:r>
    </w:p>
    <w:p>
      <w:pPr>
        <w:pStyle w:val="Normal"/>
        <w:numPr>
          <w:ilvl w:val="0"/>
          <w:numId w:val="6"/>
        </w:numPr>
        <w:rPr>
          <w:sz w:val="21"/>
          <w:szCs w:val="21"/>
        </w:rPr>
      </w:pPr>
      <w:r>
        <w:rPr>
          <w:rFonts w:cs="Calibri" w:ascii="Calibri" w:hAnsi="Calibri"/>
          <w:color w:val="002060"/>
          <w:sz w:val="21"/>
          <w:szCs w:val="21"/>
        </w:rPr>
        <w:t xml:space="preserve">Portugais :  </w:t>
        <w:tab/>
        <w:t xml:space="preserve">B1</w:t>
        <w:tab/>
      </w:r>
    </w:p>
    <w:p>
      <w:pPr>
        <w:pStyle w:val="Normal"/>
        <w:tabs>
          <w:tab w:val="clear" w:pos="708"/>
          <w:tab w:val="left" w:pos="1134" w:leader="none"/>
        </w:tabs>
        <w:spacing w:before="60" w:after="0"/>
        <w:ind w:hanging="567" w:left="1134"/>
        <w:jc w:val="left"/>
        <w:rPr/>
      </w:pPr>
      <w:r>
        <w:rPr>
          <w:rFonts w:cs="Calibri" w:ascii="Calibri" w:hAnsi="Calibri"/>
          <w:b w:val="false"/>
          <w:bCs w:val="false"/>
          <w:color w:val="000000"/>
          <w:sz w:val="21"/>
          <w:szCs w:val="21"/>
        </w:rPr>
        <w:t xml:space="preserve"/>
      </w:r>
    </w:p>
    <w:p>
      <w:pPr>
        <w:pStyle w:val="Normal"/>
        <w:rPr/>
      </w:pPr>
      <w:r>
        <w:rPr/>
        <mc:AlternateContent>
          <mc:Choice Requires="wps">
            <w:drawing>
              <wp:inline distT="0" distB="0" distL="0" distR="0" wp14:anchorId="1CB42732">
                <wp:extent cx="6494145" cy="309880"/>
                <wp:effectExtent l="0" t="0" r="20955" b="13970"/>
                <wp:docPr id="1006" name="Rectangle : coins arrondis 1"/>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600">
                          <a:solidFill>
                            <a:srgbClr val="02466d"/>
                          </a:solidFill>
                          <a:round/>
                        </a:ln>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EXPÉRIENCES PROFESSIONNELLES</w:t>
                            </w:r>
                          </w:p>
                        </w:txbxContent>
                      </wps:txbx>
                      <wps:bodyPr anchor="t">
                        <a:noAutofit/>
                      </wps:bodyPr>
                    </wps:wsp>
                  </a:graphicData>
                </a:graphic>
              </wp:inline>
            </w:drawing>
          </mc:Choice>
          <mc:Fallback>
            <w:pict/>
          </mc:Fallback>
        </mc:AlternateContent>
      </w:r>
    </w:p>
    <w:p>
      <w:pPr>
        <w:pStyle w:val="Normal"/>
        <w:rPr/>
      </w:pPr>
      <w:r>
        <w:rPr/>
        <w:t xml:space="preserve"/>
      </w:r>
    </w:p>
    <w:tbl>
      <w:tblPr>
        <w:tblW w:w="10200" w:type="dxa"/>
        <w:jc w:val="left"/>
        <w:tblInd w:w="0" w:type="dxa"/>
        <w:tblLayout w:type="fixed"/>
        <w:tblCellMar>
          <w:top w:w="0" w:type="dxa"/>
          <w:left w:w="2" w:type="dxa"/>
          <w:bottom w:w="57" w:type="dxa"/>
          <w:right w:w="0" w:type="dxa"/>
        </w:tblCellMar>
      </w:tblPr>
      <w:tblGrid>
        <w:gridCol w:w="4137"/>
        <w:gridCol w:w="3399"/>
        <w:gridCol w:w="2664"/>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ERAMET</w:t>
            </w:r>
          </w:p>
        </w:tc>
        <w:tc>
          <w:tcPr>
            <w:tcW w:w="3399"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10/2024 – 04/2025</w:t>
            </w:r>
          </w:p>
        </w:tc>
        <w:tc>
          <w:tcPr>
            <w:tcW w:w="2664"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7 mois</w:t>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Category Manager</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p>
          <w:p>
            <w:pPr>
              <w:pStyle w:val="Contenudetableau"/>
              <w:numPr>
                <w:ilvl w:val="0"/>
                <w:numId w:val="5"/>
              </w:numPr>
              <w:rPr/>
            </w:pPr>
            <w:r>
              <w:rPr>
                <w:rFonts w:ascii="Callibri" w:hAnsi="Callibri"/>
                <w:color w:val="002060"/>
                <w:sz w:val="21"/>
                <w:szCs w:val="21"/>
              </w:rPr>
              <w:t xml:space="preserve">Élaboration de la stratégie achat et déploiement dans les filiales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Contract management</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Renégociation des contrats‑cadres de maintenance d’engins miniers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Chef de projet achats électrification flotte</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Management fonctionnel des acheteurs en local</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399"/>
        <w:gridCol w:w="2664"/>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OFFICINE PANERAI</w:t>
            </w:r>
          </w:p>
        </w:tc>
        <w:tc>
          <w:tcPr>
            <w:tcW w:w="3399"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11/2022 – 09/2024</w:t>
            </w:r>
          </w:p>
        </w:tc>
        <w:tc>
          <w:tcPr>
            <w:tcW w:w="2664"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1 an et 11 mois</w:t>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Acheteur</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p>
          <w:p>
            <w:pPr>
              <w:pStyle w:val="Contenudetableau"/>
              <w:numPr>
                <w:ilvl w:val="0"/>
                <w:numId w:val="5"/>
              </w:numPr>
              <w:rPr/>
            </w:pPr>
            <w:r>
              <w:rPr>
                <w:rFonts w:ascii="Callibri" w:hAnsi="Callibri"/>
                <w:color w:val="002060"/>
                <w:sz w:val="21"/>
                <w:szCs w:val="21"/>
              </w:rPr>
              <w:t xml:space="preserve">Analyse Make‑or‑Buy sur le portefeuille mouvements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Appels d’offres des pièces achetées et sous‑traitées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Création d’un panel de fournisseurs pour les composants des mouvements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Rapports stratégiques y compris savings</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399"/>
        <w:gridCol w:w="2664"/>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ALTEN POUR ALSTOM</w:t>
            </w:r>
          </w:p>
        </w:tc>
        <w:tc>
          <w:tcPr>
            <w:tcW w:w="3399"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10/2021 – 03/2022</w:t>
            </w:r>
          </w:p>
        </w:tc>
        <w:tc>
          <w:tcPr>
            <w:tcW w:w="2664"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6 mois</w:t>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Consultant Manager Achats Indirects</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p>
          <w:p>
            <w:pPr>
              <w:pStyle w:val="Contenudetableau"/>
              <w:numPr>
                <w:ilvl w:val="0"/>
                <w:numId w:val="5"/>
              </w:numPr>
              <w:rPr/>
            </w:pPr>
            <w:r>
              <w:rPr>
                <w:rFonts w:ascii="Callibri" w:hAnsi="Callibri"/>
                <w:color w:val="002060"/>
                <w:sz w:val="21"/>
                <w:szCs w:val="21"/>
              </w:rPr>
              <w:t xml:space="preserve">Gestion des appels d’offres catégories indirectes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Élaboration de la stratégie achat indirect, CAPEX</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Management fonctionnel d’une analyste achat</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399"/>
        <w:gridCol w:w="2664"/>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ALTEN POUR ARCELORMITTAL</w:t>
            </w:r>
          </w:p>
        </w:tc>
        <w:tc>
          <w:tcPr>
            <w:tcW w:w="3399"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05/2021 – 10/2021</w:t>
            </w:r>
          </w:p>
        </w:tc>
        <w:tc>
          <w:tcPr>
            <w:tcW w:w="2664"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6 mois</w:t>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Consultant Acheteur CAPEX</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p>
          <w:p>
            <w:pPr>
              <w:pStyle w:val="Contenudetableau"/>
              <w:numPr>
                <w:ilvl w:val="0"/>
                <w:numId w:val="5"/>
              </w:numPr>
              <w:rPr/>
            </w:pPr>
            <w:r>
              <w:rPr>
                <w:rFonts w:ascii="Callibri" w:hAnsi="Callibri"/>
                <w:color w:val="002060"/>
                <w:sz w:val="21"/>
                <w:szCs w:val="21"/>
              </w:rPr>
              <w:t xml:space="preserve">Gestion des appels d’offres projets travaux neufs de 7 sites industriels (lots génie civil)</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Management fonctionnel de deux assistants achats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Résultat : 1 M € de savings</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399"/>
        <w:gridCol w:w="2664"/>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MASTERIS – GROUPE SNCF</w:t>
            </w:r>
          </w:p>
        </w:tc>
        <w:tc>
          <w:tcPr>
            <w:tcW w:w="3399"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12/2020 – 05/2021</w:t>
            </w:r>
          </w:p>
        </w:tc>
        <w:tc>
          <w:tcPr>
            <w:tcW w:w="2664"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6 mois</w:t>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Consultant Acheteur Ferroviaire</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p>
          <w:p>
            <w:pPr>
              <w:pStyle w:val="Contenudetableau"/>
              <w:numPr>
                <w:ilvl w:val="0"/>
                <w:numId w:val="5"/>
              </w:numPr>
              <w:rPr/>
            </w:pPr>
            <w:r>
              <w:rPr>
                <w:rFonts w:ascii="Callibri" w:hAnsi="Callibri"/>
                <w:color w:val="002060"/>
                <w:sz w:val="21"/>
                <w:szCs w:val="21"/>
              </w:rPr>
              <w:t xml:space="preserve">Achat projet : rénovation des métros de Lille (compresseur, convertisseur, tachymètres)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Claim Management</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Gestion des chiffrages achat amont</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Gestion des pièces de rechange</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Management fonctionnel de deux assistants achats</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399"/>
        <w:gridCol w:w="2664"/>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ALTRAN POUR AIRBUS</w:t>
            </w:r>
          </w:p>
        </w:tc>
        <w:tc>
          <w:tcPr>
            <w:tcW w:w="3399"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05/2019 – 07/2020</w:t>
            </w:r>
          </w:p>
        </w:tc>
        <w:tc>
          <w:tcPr>
            <w:tcW w:w="2664"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1 an et 3 mois</w:t>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Consultant Acheteur Aéronautique</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p>
          <w:p>
            <w:pPr>
              <w:pStyle w:val="Contenudetableau"/>
              <w:numPr>
                <w:ilvl w:val="0"/>
                <w:numId w:val="5"/>
              </w:numPr>
              <w:rPr/>
            </w:pPr>
            <w:r>
              <w:rPr>
                <w:rFonts w:ascii="Callibri" w:hAnsi="Callibri"/>
                <w:color w:val="002060"/>
                <w:sz w:val="21"/>
                <w:szCs w:val="21"/>
              </w:rPr>
              <w:t xml:space="preserve">Gestion de projet achat logistique pour les rétrofits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Claim Management</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Gestion des appels d’offres upgrades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Projet A220 : analyse des contrats, recherche de communalités In‑Service Issues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Management fonctionnel de deux assistants achats</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399"/>
        <w:gridCol w:w="2664"/>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SWISS INTERNATIONAL AIRLINES</w:t>
            </w:r>
          </w:p>
        </w:tc>
        <w:tc>
          <w:tcPr>
            <w:tcW w:w="3399"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01/2017 – 04/2019</w:t>
            </w:r>
          </w:p>
        </w:tc>
        <w:tc>
          <w:tcPr>
            <w:tcW w:w="2664"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2 ans et 4 mois</w:t>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Personnel Navigant Commercial</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399"/>
        <w:gridCol w:w="2664"/>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RENAULT</w:t>
            </w:r>
          </w:p>
        </w:tc>
        <w:tc>
          <w:tcPr>
            <w:tcW w:w="3399"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09/2015 – 09/2016</w:t>
            </w:r>
          </w:p>
        </w:tc>
        <w:tc>
          <w:tcPr>
            <w:tcW w:w="2664"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1 an</w:t>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Acheteur Automobile</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p>
          <w:p>
            <w:pPr>
              <w:pStyle w:val="Contenudetableau"/>
              <w:numPr>
                <w:ilvl w:val="0"/>
                <w:numId w:val="5"/>
              </w:numPr>
              <w:rPr/>
            </w:pPr>
            <w:r>
              <w:rPr>
                <w:rFonts w:ascii="Callibri" w:hAnsi="Callibri"/>
                <w:color w:val="002060"/>
                <w:sz w:val="21"/>
                <w:szCs w:val="21"/>
              </w:rPr>
              <w:t xml:space="preserve">Achat projet : conversion d’un minibus haut de gamme et loisirs (habillages intérieurs)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Gestion d’appel d’offres sièges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Audit fournisseurs : qualité, innovation – construction du panel fournisseurs et cartographie</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Sujet contremarques : décomposition TCO et optimisation coûts logistique</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Analyse Make‑or‑Buy</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399"/>
        <w:gridCol w:w="2664"/>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WORLD AND MORE</w:t>
            </w:r>
          </w:p>
        </w:tc>
        <w:tc>
          <w:tcPr>
            <w:tcW w:w="3399"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09/2013 – 04/2014</w:t>
            </w:r>
          </w:p>
        </w:tc>
        <w:tc>
          <w:tcPr>
            <w:tcW w:w="2664"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8 mois</w:t>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Acheteur Alimentaire</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p>
          <w:p>
            <w:pPr>
              <w:pStyle w:val="Contenudetableau"/>
              <w:numPr>
                <w:ilvl w:val="0"/>
                <w:numId w:val="5"/>
              </w:numPr>
              <w:rPr/>
            </w:pPr>
            <w:r>
              <w:rPr>
                <w:rFonts w:ascii="Callibri" w:hAnsi="Callibri"/>
                <w:color w:val="002060"/>
                <w:sz w:val="21"/>
                <w:szCs w:val="21"/>
              </w:rPr>
              <w:t xml:space="preserve">Définition du besoin en achat</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Sourcing de produits alimentaires (Espagne, Turquie)</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Analyse et renégociation des contrats‑cadres</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09" w:right="748" w:gutter="0" w:header="283" w:top="851" w:footer="214" w:bottom="1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Open Sauce Sans Light">
    <w:charset w:val="01"/>
    <w:family w:val="roman"/>
    <w:pitch w:val="variable"/>
  </w:font>
  <w:font w:name="Callibri">
    <w:charset w:val="01"/>
    <w:family w:val="roman"/>
    <w:pitch w:val="variable"/>
  </w:font>
  <w:font w:name="Clibri">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left" w:pos="7905" w:leader="none"/>
      </w:tabs>
      <w:jc w:val="center"/>
      <w:rPr>
        <w:rFonts w:ascii="Open Sauce Sans Light" w:hAnsi="Open Sauce Sans Light" w:cs="Arial"/>
        <w:bCs/>
        <w:color w:val="002060"/>
        <w:sz w:val="18"/>
        <w:szCs w:val="18"/>
      </w:rPr>
    </w:pPr>
    <w:r>
      <w:rPr>
        <w:rFonts w:cs="Arial" w:ascii="Open Sauce Sans Light" w:hAnsi="Open Sauce Sans Light"/>
        <w:bCs/>
        <w:color w:val="002060"/>
        <w:sz w:val="18"/>
        <w:szCs w:val="18"/>
      </w:rPr>
      <w:t>NAVA ENGINEERING • 9-11 AVENUE MICHELET, 93400 SAINT-OUEN-SUR-SEINE</w:t>
    </w:r>
  </w:p>
  <w:p>
    <w:pPr>
      <w:pStyle w:val="Footer"/>
      <w:jc w:val="center"/>
      <w:rPr>
        <w:rFonts w:ascii="Open Sauce Sans Light" w:hAnsi="Open Sauce Sans Light" w:cs="Arial"/>
        <w:bCs/>
        <w:color w:val="002060"/>
        <w:sz w:val="16"/>
        <w:szCs w:val="16"/>
        <w:lang w:val="it-IT"/>
      </w:rPr>
    </w:pPr>
    <w:r>
      <w:rPr>
        <w:rFonts w:cs="Arial" w:ascii="Open Sauce Sans Light" w:hAnsi="Open Sauce Sans Light"/>
        <w:bCs/>
        <w:color w:val="002060"/>
        <w:sz w:val="16"/>
        <w:szCs w:val="16"/>
        <w:lang w:val="it-IT"/>
      </w:rPr>
      <w:t xml:space="preserve">Simon ZANA • 06 13 53 23 81 • </w:t>
    </w:r>
    <w:r>
      <mc:AlternateContent>
        <mc:Choice Requires="wps">
          <w:drawing>
            <wp:anchor behindDoc="1" distT="1270" distB="0" distL="1270" distR="0" simplePos="0" locked="0" layoutInCell="0" allowOverlap="1" relativeHeight="13" wp14:anchorId="792A83A9">
              <wp:simplePos x="0" y="0"/>
              <wp:positionH relativeFrom="page">
                <wp:posOffset>3596640</wp:posOffset>
              </wp:positionH>
              <wp:positionV relativeFrom="page">
                <wp:posOffset>9914255</wp:posOffset>
              </wp:positionV>
              <wp:extent cx="363855" cy="320675"/>
              <wp:effectExtent l="1270" t="1270" r="0" b="0"/>
              <wp:wrapNone/>
              <wp:docPr id="9" name="Organigramme : Alternative 1"/>
              <a:graphic xmlns:a="http://schemas.openxmlformats.org/drawingml/2006/main">
                <a:graphicData uri="http://schemas.microsoft.com/office/word/2010/wordprocessingShape">
                  <wps:wsp>
                    <wps:cNvSpPr/>
                    <wps:spPr>
                      <a:xfrm>
                        <a:off x="0" y="0"/>
                        <a:ext cx="363960" cy="320760"/>
                      </a:xfrm>
                      <a:prstGeom prst="flowChartAlternateProcess">
                        <a:avLst/>
                      </a:prstGeom>
                      <a:solidFill>
                        <a:srgbClr val="02466d"/>
                      </a:solidFill>
                      <a:ln w="0">
                        <a:noFill/>
                      </a:ln>
                    </wps:spPr>
                    <wps:style>
                      <a:lnRef idx="0"/>
                      <a:fillRef idx="0"/>
                      <a:effectRef idx="0"/>
                      <a:fontRef idx="minor"/>
                    </wps:style>
                    <wps:txbx>
                      <w:txbxContent>
                        <w:p>
                          <w:pPr>
                            <w:pStyle w:val="Contenudecadre"/>
                            <w:jc w:val="center"/>
                            <w:rPr>
                              <w:color w:val="FFFFFF"/>
                              <w:sz w:val="28"/>
                              <w:szCs w:val="28"/>
                            </w:rPr>
                          </w:pPr>
                          <w:hyperlink r:id="rId1">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wps:txbx>
                    <wps:bodyPr anchor="b" upright="1">
                      <a:noAutofit/>
                    </wps:bodyPr>
                  </wps:wsp>
                </a:graphicData>
              </a:graphic>
            </wp:anchor>
          </w:drawing>
        </mc:Choice>
        <mc:Fallback>
          <w:pict>
            <v:shapetype id="_x0000_t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Organigramme : Alternative 1" path="l-2147483647,-2147483647l-2147483636,-2147483635l-2147483646,0l-2147483647,-2147483647l-2147483634,-2147483633l-2147483637,-2147483645l-2147483647,-2147483647xe" fillcolor="#02466d" stroked="f" o:allowincell="f" style="position:absolute;margin-left:283.2pt;margin-top:780.65pt;width:28.6pt;height:25.2pt;mso-wrap-style:square;v-text-anchor:bottom;mso-position-horizontal-relative:page;mso-position-vertical-relative:page" wp14:anchorId="792A83A9" type="_x0000_t176">
              <v:fill o:detectmouseclick="t" type="solid" color2="#fdb992"/>
              <v:stroke color="#3465a4" joinstyle="round" endcap="flat"/>
              <v:textbox>
                <w:txbxContent>
                  <w:p>
                    <w:pPr>
                      <w:pStyle w:val="Contenudecadre"/>
                      <w:jc w:val="center"/>
                      <w:rPr>
                        <w:color w:val="FFFFFF"/>
                        <w:sz w:val="28"/>
                        <w:szCs w:val="28"/>
                      </w:rPr>
                    </w:pPr>
                    <w:hyperlink r:id="rId2">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v:textbox>
              <w10:wrap type="none"/>
            </v:shape>
          </w:pict>
        </mc:Fallback>
      </mc:AlternateContent>
    </w:r>
    <w:r>
      <w:rPr>
        <w:rStyle w:val="Hyperlink"/>
        <w:rFonts w:eastAsia="" w:cs="Arial" w:ascii="Open Sauce Sans Light" w:hAnsi="Open Sauce Sans Light" w:eastAsiaTheme="majorEastAsia"/>
        <w:bCs/>
        <w:color w:val="002060"/>
        <w:sz w:val="16"/>
        <w:szCs w:val="16"/>
        <w:lang w:val="it-IT"/>
      </w:rPr>
      <w:t>simon.zana@nava-eng.com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left" w:pos="7905" w:leader="none"/>
      </w:tabs>
      <w:jc w:val="center"/>
      <w:rPr>
        <w:rFonts w:ascii="Open Sauce Sans Light" w:hAnsi="Open Sauce Sans Light" w:cs="Arial"/>
        <w:bCs/>
        <w:color w:val="002060"/>
        <w:sz w:val="18"/>
        <w:szCs w:val="18"/>
      </w:rPr>
    </w:pPr>
    <w:r>
      <w:rPr>
        <w:rFonts w:cs="Arial" w:ascii="Open Sauce Sans Light" w:hAnsi="Open Sauce Sans Light"/>
        <w:bCs/>
        <w:color w:val="002060"/>
        <w:sz w:val="18"/>
        <w:szCs w:val="18"/>
      </w:rPr>
      <w:t>NAVA ENGINEERING • 9-11 AVENUE MICHELET, 93400 SAINT-OUEN-SUR-SEINE</w:t>
    </w:r>
  </w:p>
  <w:p>
    <w:pPr>
      <w:pStyle w:val="Footer"/>
      <w:jc w:val="center"/>
      <w:rPr>
        <w:rFonts w:ascii="Open Sauce Sans Light" w:hAnsi="Open Sauce Sans Light" w:cs="Arial"/>
        <w:bCs/>
        <w:color w:val="002060"/>
        <w:sz w:val="16"/>
        <w:szCs w:val="16"/>
        <w:lang w:val="it-IT"/>
      </w:rPr>
    </w:pPr>
    <w:r>
      <w:rPr>
        <w:rFonts w:cs="Arial" w:ascii="Open Sauce Sans Light" w:hAnsi="Open Sauce Sans Light"/>
        <w:bCs/>
        <w:color w:val="002060"/>
        <w:sz w:val="16"/>
        <w:szCs w:val="16"/>
        <w:lang w:val="it-IT"/>
      </w:rPr>
      <w:t xml:space="preserve">Simon ZANA • 06 13 53 23 81 • </w:t>
    </w:r>
    <w:r>
      <mc:AlternateContent>
        <mc:Choice Requires="wps">
          <w:drawing>
            <wp:anchor behindDoc="1" distT="1270" distB="0" distL="1270" distR="0" simplePos="0" locked="0" layoutInCell="0" allowOverlap="1" relativeHeight="13" wp14:anchorId="792A83A9">
              <wp:simplePos x="0" y="0"/>
              <wp:positionH relativeFrom="page">
                <wp:posOffset>3596640</wp:posOffset>
              </wp:positionH>
              <wp:positionV relativeFrom="page">
                <wp:posOffset>9914255</wp:posOffset>
              </wp:positionV>
              <wp:extent cx="363855" cy="320675"/>
              <wp:effectExtent l="1270" t="1270" r="0" b="0"/>
              <wp:wrapNone/>
              <wp:docPr id="10" name="Organigramme : Alternative 1"/>
              <a:graphic xmlns:a="http://schemas.openxmlformats.org/drawingml/2006/main">
                <a:graphicData uri="http://schemas.microsoft.com/office/word/2010/wordprocessingShape">
                  <wps:wsp>
                    <wps:cNvSpPr/>
                    <wps:spPr>
                      <a:xfrm>
                        <a:off x="0" y="0"/>
                        <a:ext cx="363960" cy="320760"/>
                      </a:xfrm>
                      <a:prstGeom prst="flowChartAlternateProcess">
                        <a:avLst/>
                      </a:prstGeom>
                      <a:solidFill>
                        <a:srgbClr val="02466d"/>
                      </a:solidFill>
                      <a:ln w="0">
                        <a:noFill/>
                      </a:ln>
                    </wps:spPr>
                    <wps:style>
                      <a:lnRef idx="0"/>
                      <a:fillRef idx="0"/>
                      <a:effectRef idx="0"/>
                      <a:fontRef idx="minor"/>
                    </wps:style>
                    <wps:txbx>
                      <w:txbxContent>
                        <w:p>
                          <w:pPr>
                            <w:pStyle w:val="Contenudecadre"/>
                            <w:jc w:val="center"/>
                            <w:rPr>
                              <w:color w:val="FFFFFF"/>
                              <w:sz w:val="28"/>
                              <w:szCs w:val="28"/>
                            </w:rPr>
                          </w:pPr>
                          <w:hyperlink r:id="rId1">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wps:txbx>
                    <wps:bodyPr anchor="b" upright="1">
                      <a:noAutofit/>
                    </wps:bodyPr>
                  </wps:wsp>
                </a:graphicData>
              </a:graphic>
            </wp:anchor>
          </w:drawing>
        </mc:Choice>
        <mc:Fallback>
          <w:pict>
            <v:shape id="shape_0" ID="Organigramme : Alternative 1" path="l-2147483647,-2147483647l-2147483636,-2147483635l-2147483646,0l-2147483647,-2147483647l-2147483634,-2147483633l-2147483637,-2147483645l-2147483647,-2147483647xe" fillcolor="#02466d" stroked="f" o:allowincell="f" style="position:absolute;margin-left:283.2pt;margin-top:780.65pt;width:28.6pt;height:25.2pt;mso-wrap-style:square;v-text-anchor:bottom;mso-position-horizontal-relative:page;mso-position-vertical-relative:page" wp14:anchorId="792A83A9" type="_x0000_t176">
              <v:fill o:detectmouseclick="t" type="solid" color2="#fdb992"/>
              <v:stroke color="#3465a4" joinstyle="round" endcap="flat"/>
              <v:textbox>
                <w:txbxContent>
                  <w:p>
                    <w:pPr>
                      <w:pStyle w:val="Contenudecadre"/>
                      <w:jc w:val="center"/>
                      <w:rPr>
                        <w:color w:val="FFFFFF"/>
                        <w:sz w:val="28"/>
                        <w:szCs w:val="28"/>
                      </w:rPr>
                    </w:pPr>
                    <w:hyperlink r:id="rId2">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v:textbox>
              <w10:wrap type="none"/>
            </v:shape>
          </w:pict>
        </mc:Fallback>
      </mc:AlternateContent>
    </w:r>
    <w:r>
      <w:rPr>
        <w:rStyle w:val="Hyperlink"/>
        <w:rFonts w:eastAsia="" w:cs="Arial" w:ascii="Open Sauce Sans Light" w:hAnsi="Open Sauce Sans Light" w:eastAsiaTheme="majorEastAsia"/>
        <w:bCs/>
        <w:color w:val="002060"/>
        <w:sz w:val="16"/>
        <w:szCs w:val="16"/>
        <w:lang w:val="it-IT"/>
      </w:rPr>
      <w:t>simon.zana@nava-eng.com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color w:val="002060"/>
        <w:sz w:val="34"/>
        <w:szCs w:val="34"/>
      </w:rPr>
    </w:pPr>
    <w:r>
      <w:drawing>
        <wp:anchor behindDoc="1" distT="0" distB="0" distL="0" distR="0" simplePos="0" locked="0" layoutInCell="0" allowOverlap="1" relativeHeight="15">
          <wp:simplePos x="0" y="0"/>
          <wp:positionH relativeFrom="column">
            <wp:posOffset>192405</wp:posOffset>
          </wp:positionH>
          <wp:positionV relativeFrom="paragraph">
            <wp:posOffset>-24130</wp:posOffset>
          </wp:positionV>
          <wp:extent cx="1019810" cy="1032510"/>
          <wp:effectExtent l="0" t="0" r="0" b="0"/>
          <wp:wrapSquare wrapText="largest"/>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1"/>
                  <a:srcRect l="6716" t="6596" r="7558" b="6596"/>
                  <a:stretch>
                    <a:fillRect/>
                  </a:stretch>
                </pic:blipFill>
                <pic:spPr bwMode="auto">
                  <a:xfrm>
                    <a:off x="0" y="0"/>
                    <a:ext cx="1019810" cy="1032510"/>
                  </a:xfrm>
                  <a:prstGeom prst="rect">
                    <a:avLst/>
                  </a:prstGeom>
                </pic:spPr>
              </pic:pic>
            </a:graphicData>
          </a:graphic>
        </wp:anchor>
      </w:drawing>
    </w:r>
    <w:r>
      <w:rPr>
        <w:color w:val="002060"/>
        <w:sz w:val="34"/>
        <w:szCs w:val="34"/>
      </w:rPr>
      <w:t xml:space="preserve">CPE</w:t>
    </w:r>
  </w:p>
  <w:p>
    <w:pPr>
      <w:pStyle w:val="Normal"/>
      <w:jc w:val="right"/>
      <w:rPr>
        <w:b/>
        <w:bCs/>
        <w:color w:val="002060"/>
        <w:sz w:val="40"/>
        <w:szCs w:val="40"/>
      </w:rPr>
    </w:pPr>
    <w:r>
      <w:rPr>
        <w:b/>
        <w:bCs/>
        <w:color w:val="002060"/>
        <w:sz w:val="40"/>
        <w:szCs w:val="40"/>
      </w:rPr>
      <w:t xml:space="preserve">Category Manager</w:t>
    </w:r>
  </w:p>
  <w:p>
    <w:pPr>
      <w:pStyle w:val="Normal"/>
      <w:jc w:val="right"/>
      <w:rPr>
        <w:color w:val="002060"/>
        <w:sz w:val="34"/>
        <w:szCs w:val="34"/>
      </w:rPr>
    </w:pPr>
    <w:r>
      <w:rPr>
        <w:color w:val="002060"/>
        <w:sz w:val="34"/>
        <w:szCs w:val="34"/>
      </w:rPr>
      <w:t xml:space="preserve">9 ans d'expériences</w:t>
    </w:r>
  </w:p>
  <w:p>
    <w:pPr>
      <w:pStyle w:val="Normal"/>
      <w:jc w:val="right"/>
      <w:rPr>
        <w:color w:val="002060"/>
        <w:sz w:val="34"/>
        <w:szCs w:val="34"/>
      </w:rPr>
    </w:pPr>
    <w:r>
      <w:rPr>
        <w:color w:val="002060"/>
        <w:sz w:val="34"/>
        <w:szCs w:val="3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color w:val="002060"/>
        <w:sz w:val="34"/>
        <w:szCs w:val="34"/>
      </w:rPr>
    </w:pPr>
    <w:r>
      <w:drawing>
        <wp:anchor behindDoc="1" distT="0" distB="0" distL="0" distR="0" simplePos="0" locked="0" layoutInCell="0" allowOverlap="1" relativeHeight="15">
          <wp:simplePos x="0" y="0"/>
          <wp:positionH relativeFrom="column">
            <wp:posOffset>192405</wp:posOffset>
          </wp:positionH>
          <wp:positionV relativeFrom="paragraph">
            <wp:posOffset>-24130</wp:posOffset>
          </wp:positionV>
          <wp:extent cx="1019810" cy="1032510"/>
          <wp:effectExtent l="0" t="0" r="0" b="0"/>
          <wp:wrapSquare wrapText="largest"/>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
                  <a:srcRect l="6716" t="6596" r="7558" b="6596"/>
                  <a:stretch>
                    <a:fillRect/>
                  </a:stretch>
                </pic:blipFill>
                <pic:spPr bwMode="auto">
                  <a:xfrm>
                    <a:off x="0" y="0"/>
                    <a:ext cx="1019810" cy="1032510"/>
                  </a:xfrm>
                  <a:prstGeom prst="rect">
                    <a:avLst/>
                  </a:prstGeom>
                </pic:spPr>
              </pic:pic>
            </a:graphicData>
          </a:graphic>
        </wp:anchor>
      </w:drawing>
    </w:r>
    <w:r>
      <w:rPr>
        <w:color w:val="002060"/>
        <w:sz w:val="34"/>
        <w:szCs w:val="34"/>
      </w:rPr>
      <w:t xml:space="preserve">CPE</w:t>
    </w:r>
  </w:p>
  <w:p>
    <w:pPr>
      <w:pStyle w:val="Normal"/>
      <w:jc w:val="right"/>
      <w:rPr>
        <w:b/>
        <w:bCs/>
        <w:color w:val="002060"/>
        <w:sz w:val="40"/>
        <w:szCs w:val="40"/>
      </w:rPr>
    </w:pPr>
    <w:r>
      <w:rPr>
        <w:b/>
        <w:bCs/>
        <w:color w:val="002060"/>
        <w:sz w:val="40"/>
        <w:szCs w:val="40"/>
      </w:rPr>
      <w:t xml:space="preserve">Category Manager</w:t>
    </w:r>
  </w:p>
  <w:p>
    <w:pPr>
      <w:pStyle w:val="Normal"/>
      <w:jc w:val="right"/>
      <w:rPr>
        <w:color w:val="002060"/>
        <w:sz w:val="34"/>
        <w:szCs w:val="34"/>
      </w:rPr>
    </w:pPr>
    <w:r>
      <w:rPr>
        <w:color w:val="002060"/>
        <w:sz w:val="34"/>
        <w:szCs w:val="34"/>
      </w:rPr>
      <w:t xml:space="preserve">9 ans d'expériences</w:t>
    </w:r>
  </w:p>
  <w:p>
    <w:pPr>
      <w:pStyle w:val="Normal"/>
      <w:jc w:val="right"/>
      <w:rPr>
        <w:color w:val="002060"/>
        <w:sz w:val="34"/>
        <w:szCs w:val="34"/>
      </w:rPr>
    </w:pPr>
    <w:r>
      <w:rPr>
        <w:color w:val="002060"/>
        <w:sz w:val="34"/>
        <w:szCs w:val="3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68" w:hanging="360"/>
      </w:pPr>
      <w:rPr>
        <w:rFonts w:ascii="Wingdings" w:hAnsi="Wingdings" w:cs="Wingdings"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OpenSymbol" w:hAnsi="OpenSymbol" w:cs="OpenSymbol" w:hint="default"/>
        <w:sz w:val="22"/>
        <w:szCs w:val="22"/>
      </w:rPr>
    </w:lvl>
    <w:lvl w:ilvl="2">
      <w:start w:val="1"/>
      <w:numFmt w:val="bullet"/>
      <w:lvlText w:val="▪"/>
      <w:lvlJc w:val="left"/>
      <w:pPr>
        <w:tabs>
          <w:tab w:val="num" w:pos="1440"/>
        </w:tabs>
        <w:ind w:left="1440" w:hanging="360"/>
      </w:pPr>
      <w:rPr>
        <w:rFonts w:ascii="OpenSymbol" w:hAnsi="OpenSymbol" w:cs="OpenSymbol" w:hint="default"/>
        <w:sz w:val="22"/>
        <w:szCs w:val="22"/>
      </w:rPr>
    </w:lvl>
    <w:lvl w:ilvl="3">
      <w:start w:val="1"/>
      <w:numFmt w:val="bullet"/>
      <w:lvlText w:val=""/>
      <w:lvlJc w:val="left"/>
      <w:pPr>
        <w:tabs>
          <w:tab w:val="num" w:pos="1800"/>
        </w:tabs>
        <w:ind w:left="1800" w:hanging="360"/>
      </w:pPr>
      <w:rPr>
        <w:rFonts w:ascii="Symbol" w:hAnsi="Symbol" w:cs="Symbol" w:hint="default"/>
        <w:sz w:val="22"/>
        <w:szCs w:val="22"/>
      </w:rPr>
    </w:lvl>
    <w:lvl w:ilvl="4">
      <w:start w:val="1"/>
      <w:numFmt w:val="bullet"/>
      <w:lvlText w:val="◦"/>
      <w:lvlJc w:val="left"/>
      <w:pPr>
        <w:tabs>
          <w:tab w:val="num" w:pos="2160"/>
        </w:tabs>
        <w:ind w:left="2160" w:hanging="360"/>
      </w:pPr>
      <w:rPr>
        <w:rFonts w:ascii="OpenSymbol" w:hAnsi="OpenSymbol" w:cs="OpenSymbol" w:hint="default"/>
        <w:sz w:val="22"/>
        <w:szCs w:val="22"/>
      </w:rPr>
    </w:lvl>
    <w:lvl w:ilvl="5">
      <w:start w:val="1"/>
      <w:numFmt w:val="bullet"/>
      <w:lvlText w:val="▪"/>
      <w:lvlJc w:val="left"/>
      <w:pPr>
        <w:tabs>
          <w:tab w:val="num" w:pos="2520"/>
        </w:tabs>
        <w:ind w:left="2520" w:hanging="360"/>
      </w:pPr>
      <w:rPr>
        <w:rFonts w:ascii="OpenSymbol" w:hAnsi="OpenSymbol" w:cs="OpenSymbol" w:hint="default"/>
        <w:sz w:val="22"/>
        <w:szCs w:val="22"/>
      </w:rPr>
    </w:lvl>
    <w:lvl w:ilvl="6">
      <w:start w:val="1"/>
      <w:numFmt w:val="bullet"/>
      <w:lvlText w:val=""/>
      <w:lvlJc w:val="left"/>
      <w:pPr>
        <w:tabs>
          <w:tab w:val="num" w:pos="2880"/>
        </w:tabs>
        <w:ind w:left="2880" w:hanging="360"/>
      </w:pPr>
      <w:rPr>
        <w:rFonts w:ascii="Symbol" w:hAnsi="Symbol" w:cs="Symbol" w:hint="default"/>
        <w:sz w:val="22"/>
        <w:szCs w:val="22"/>
      </w:rPr>
    </w:lvl>
    <w:lvl w:ilvl="7">
      <w:start w:val="1"/>
      <w:numFmt w:val="bullet"/>
      <w:lvlText w:val="◦"/>
      <w:lvlJc w:val="left"/>
      <w:pPr>
        <w:tabs>
          <w:tab w:val="num" w:pos="3240"/>
        </w:tabs>
        <w:ind w:left="3240" w:hanging="360"/>
      </w:pPr>
      <w:rPr>
        <w:rFonts w:ascii="OpenSymbol" w:hAnsi="OpenSymbol" w:cs="OpenSymbol" w:hint="default"/>
        <w:sz w:val="22"/>
        <w:szCs w:val="22"/>
      </w:rPr>
    </w:lvl>
    <w:lvl w:ilvl="8">
      <w:start w:val="1"/>
      <w:numFmt w:val="bullet"/>
      <w:lvlText w:val="▪"/>
      <w:lvlJc w:val="left"/>
      <w:pPr>
        <w:tabs>
          <w:tab w:val="num" w:pos="3600"/>
        </w:tabs>
        <w:ind w:left="3600" w:hanging="360"/>
      </w:pPr>
      <w:rPr>
        <w:rFonts w:ascii="OpenSymbol" w:hAnsi="OpenSymbol" w:cs="OpenSymbol" w:hint="default"/>
        <w:sz w:val="22"/>
        <w:szCs w:val="22"/>
      </w:rPr>
    </w:lvl>
  </w:abstractNum>
  <w:abstractNum w:abstractNumId="5">
    <w:lvl w:ilvl="0">
      <w:start w:val="1"/>
      <w:numFmt w:val="bullet"/>
      <w:lvlText w:val=""/>
      <w:lvlJc w:val="left"/>
      <w:pPr>
        <w:tabs>
          <w:tab w:val="num" w:pos="720"/>
        </w:tabs>
        <w:ind w:left="720" w:hanging="360"/>
      </w:pPr>
      <w:rPr>
        <w:rFonts w:ascii="Symbol" w:hAnsi="Symbol" w:cs="Symbol" w:hint="default"/>
        <w:sz w:val="22"/>
        <w:szCs w:val="22"/>
      </w:rPr>
    </w:lvl>
    <w:lvl w:ilvl="1">
      <w:start w:val="1"/>
      <w:numFmt w:val="bullet"/>
      <w:lvlText w:val="◦"/>
      <w:lvlJc w:val="left"/>
      <w:pPr>
        <w:tabs>
          <w:tab w:val="num" w:pos="1080"/>
        </w:tabs>
        <w:ind w:left="1080" w:hanging="360"/>
      </w:pPr>
      <w:rPr>
        <w:rFonts w:ascii="OpenSymbol" w:hAnsi="OpenSymbol" w:cs="OpenSymbol" w:hint="default"/>
        <w:sz w:val="22"/>
        <w:szCs w:val="22"/>
      </w:rPr>
    </w:lvl>
    <w:lvl w:ilvl="2">
      <w:start w:val="1"/>
      <w:numFmt w:val="bullet"/>
      <w:lvlText w:val="▪"/>
      <w:lvlJc w:val="left"/>
      <w:pPr>
        <w:tabs>
          <w:tab w:val="num" w:pos="1440"/>
        </w:tabs>
        <w:ind w:left="1440" w:hanging="360"/>
      </w:pPr>
      <w:rPr>
        <w:rFonts w:ascii="OpenSymbol" w:hAnsi="OpenSymbol" w:cs="OpenSymbol" w:hint="default"/>
        <w:sz w:val="22"/>
        <w:szCs w:val="22"/>
      </w:rPr>
    </w:lvl>
    <w:lvl w:ilvl="3">
      <w:start w:val="1"/>
      <w:numFmt w:val="bullet"/>
      <w:lvlText w:val=""/>
      <w:lvlJc w:val="left"/>
      <w:pPr>
        <w:tabs>
          <w:tab w:val="num" w:pos="1800"/>
        </w:tabs>
        <w:ind w:left="1800" w:hanging="360"/>
      </w:pPr>
      <w:rPr>
        <w:rFonts w:ascii="Symbol" w:hAnsi="Symbol" w:cs="Symbol" w:hint="default"/>
        <w:sz w:val="22"/>
        <w:szCs w:val="22"/>
      </w:rPr>
    </w:lvl>
    <w:lvl w:ilvl="4">
      <w:start w:val="1"/>
      <w:numFmt w:val="bullet"/>
      <w:lvlText w:val="◦"/>
      <w:lvlJc w:val="left"/>
      <w:pPr>
        <w:tabs>
          <w:tab w:val="num" w:pos="2160"/>
        </w:tabs>
        <w:ind w:left="2160" w:hanging="360"/>
      </w:pPr>
      <w:rPr>
        <w:rFonts w:ascii="OpenSymbol" w:hAnsi="OpenSymbol" w:cs="OpenSymbol" w:hint="default"/>
        <w:sz w:val="22"/>
        <w:szCs w:val="22"/>
      </w:rPr>
    </w:lvl>
    <w:lvl w:ilvl="5">
      <w:start w:val="1"/>
      <w:numFmt w:val="bullet"/>
      <w:lvlText w:val="▪"/>
      <w:lvlJc w:val="left"/>
      <w:pPr>
        <w:tabs>
          <w:tab w:val="num" w:pos="2520"/>
        </w:tabs>
        <w:ind w:left="2520" w:hanging="360"/>
      </w:pPr>
      <w:rPr>
        <w:rFonts w:ascii="OpenSymbol" w:hAnsi="OpenSymbol" w:cs="OpenSymbol" w:hint="default"/>
        <w:sz w:val="22"/>
        <w:szCs w:val="22"/>
      </w:rPr>
    </w:lvl>
    <w:lvl w:ilvl="6">
      <w:start w:val="1"/>
      <w:numFmt w:val="bullet"/>
      <w:lvlText w:val=""/>
      <w:lvlJc w:val="left"/>
      <w:pPr>
        <w:tabs>
          <w:tab w:val="num" w:pos="2880"/>
        </w:tabs>
        <w:ind w:left="2880" w:hanging="360"/>
      </w:pPr>
      <w:rPr>
        <w:rFonts w:ascii="Symbol" w:hAnsi="Symbol" w:cs="Symbol" w:hint="default"/>
        <w:sz w:val="22"/>
        <w:szCs w:val="22"/>
      </w:rPr>
    </w:lvl>
    <w:lvl w:ilvl="7">
      <w:start w:val="1"/>
      <w:numFmt w:val="bullet"/>
      <w:lvlText w:val="◦"/>
      <w:lvlJc w:val="left"/>
      <w:pPr>
        <w:tabs>
          <w:tab w:val="num" w:pos="3240"/>
        </w:tabs>
        <w:ind w:left="3240" w:hanging="360"/>
      </w:pPr>
      <w:rPr>
        <w:rFonts w:ascii="OpenSymbol" w:hAnsi="OpenSymbol" w:cs="OpenSymbol" w:hint="default"/>
        <w:sz w:val="22"/>
        <w:szCs w:val="22"/>
      </w:rPr>
    </w:lvl>
    <w:lvl w:ilvl="8">
      <w:start w:val="1"/>
      <w:numFmt w:val="bullet"/>
      <w:lvlText w:val="▪"/>
      <w:lvlJc w:val="left"/>
      <w:pPr>
        <w:tabs>
          <w:tab w:val="num" w:pos="3600"/>
        </w:tabs>
        <w:ind w:left="3600" w:hanging="360"/>
      </w:pPr>
      <w:rPr>
        <w:rFonts w:ascii="OpenSymbol" w:hAnsi="OpenSymbol" w:cs="OpenSymbol" w:hint="default"/>
        <w:sz w:val="22"/>
        <w:szCs w:val="22"/>
      </w:rPr>
    </w:lvl>
  </w:abstractNum>
  <w:abstractNum w:abstractNumId="6">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Wingdings" w:hAnsi="Wingdings" w:cs="Wingdings" w:hint="default"/>
        <w:sz w:val="22"/>
        <w:szCs w:val="22"/>
      </w:rPr>
    </w:lvl>
    <w:lvl w:ilvl="2">
      <w:start w:val="1"/>
      <w:numFmt w:val="bullet"/>
      <w:lvlText w:val=""/>
      <w:lvlJc w:val="left"/>
      <w:pPr>
        <w:tabs>
          <w:tab w:val="num" w:pos="1440"/>
        </w:tabs>
        <w:ind w:left="1440" w:hanging="360"/>
      </w:pPr>
      <w:rPr>
        <w:rFonts w:ascii="Wingdings" w:hAnsi="Wingdings" w:cs="Wingdings" w:hint="default"/>
        <w:sz w:val="22"/>
        <w:szCs w:val="22"/>
      </w:rPr>
    </w:lvl>
    <w:lvl w:ilvl="3">
      <w:start w:val="1"/>
      <w:numFmt w:val="bullet"/>
      <w:lvlText w:val=""/>
      <w:lvlJc w:val="left"/>
      <w:pPr>
        <w:tabs>
          <w:tab w:val="num" w:pos="1800"/>
        </w:tabs>
        <w:ind w:left="1800" w:hanging="360"/>
      </w:pPr>
      <w:rPr>
        <w:rFonts w:ascii="Wingdings" w:hAnsi="Wingdings" w:cs="Wingdings" w:hint="default"/>
        <w:sz w:val="22"/>
        <w:szCs w:val="22"/>
      </w:rPr>
    </w:lvl>
    <w:lvl w:ilvl="4">
      <w:start w:val="1"/>
      <w:numFmt w:val="bullet"/>
      <w:lvlText w:val=""/>
      <w:lvlJc w:val="left"/>
      <w:pPr>
        <w:tabs>
          <w:tab w:val="num" w:pos="2160"/>
        </w:tabs>
        <w:ind w:left="2160" w:hanging="360"/>
      </w:pPr>
      <w:rPr>
        <w:rFonts w:ascii="Wingdings" w:hAnsi="Wingdings" w:cs="Wingdings" w:hint="default"/>
        <w:sz w:val="22"/>
        <w:szCs w:val="22"/>
      </w:rPr>
    </w:lvl>
    <w:lvl w:ilvl="5">
      <w:start w:val="1"/>
      <w:numFmt w:val="bullet"/>
      <w:lvlText w:val=""/>
      <w:lvlJc w:val="left"/>
      <w:pPr>
        <w:tabs>
          <w:tab w:val="num" w:pos="2520"/>
        </w:tabs>
        <w:ind w:left="2520" w:hanging="360"/>
      </w:pPr>
      <w:rPr>
        <w:rFonts w:ascii="Wingdings" w:hAnsi="Wingdings" w:cs="Wingdings" w:hint="default"/>
        <w:sz w:val="22"/>
        <w:szCs w:val="22"/>
      </w:rPr>
    </w:lvl>
    <w:lvl w:ilvl="6">
      <w:start w:val="1"/>
      <w:numFmt w:val="bullet"/>
      <w:lvlText w:val=""/>
      <w:lvlJc w:val="left"/>
      <w:pPr>
        <w:tabs>
          <w:tab w:val="num" w:pos="2880"/>
        </w:tabs>
        <w:ind w:left="2880" w:hanging="360"/>
      </w:pPr>
      <w:rPr>
        <w:rFonts w:ascii="Wingdings" w:hAnsi="Wingdings" w:cs="Wingdings" w:hint="default"/>
        <w:sz w:val="22"/>
        <w:szCs w:val="22"/>
      </w:rPr>
    </w:lvl>
    <w:lvl w:ilvl="7">
      <w:start w:val="1"/>
      <w:numFmt w:val="bullet"/>
      <w:lvlText w:val=""/>
      <w:lvlJc w:val="left"/>
      <w:pPr>
        <w:tabs>
          <w:tab w:val="num" w:pos="3240"/>
        </w:tabs>
        <w:ind w:left="3240" w:hanging="360"/>
      </w:pPr>
      <w:rPr>
        <w:rFonts w:ascii="Wingdings" w:hAnsi="Wingdings" w:cs="Wingdings" w:hint="default"/>
        <w:sz w:val="22"/>
        <w:szCs w:val="22"/>
      </w:rPr>
    </w:lvl>
    <w:lvl w:ilvl="8">
      <w:start w:val="1"/>
      <w:numFmt w:val="bullet"/>
      <w:lvlText w:val=""/>
      <w:lvlJc w:val="left"/>
      <w:pPr>
        <w:tabs>
          <w:tab w:val="num" w:pos="3600"/>
        </w:tabs>
        <w:ind w:left="3600" w:hanging="360"/>
      </w:pPr>
      <w:rPr>
        <w:rFonts w:ascii="Wingdings" w:hAnsi="Wingdings" w:cs="Wingdings" w:hint="default"/>
        <w:sz w:val="22"/>
        <w:szCs w:val="22"/>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4571"/>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fr-FR" w:eastAsia="fr-FR" w:bidi="ar-SA"/>
    </w:rPr>
  </w:style>
  <w:style w:type="paragraph" w:styleId="Heading1">
    <w:name w:val="Heading 1"/>
    <w:basedOn w:val="Normal"/>
    <w:next w:val="Normal"/>
    <w:link w:val="Titre1Car"/>
    <w:uiPriority w:val="9"/>
    <w:qFormat/>
    <w:rsid w:val="00cf457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itre2Car"/>
    <w:uiPriority w:val="9"/>
    <w:semiHidden/>
    <w:unhideWhenUsed/>
    <w:qFormat/>
    <w:rsid w:val="00cf457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itre3Car"/>
    <w:uiPriority w:val="9"/>
    <w:semiHidden/>
    <w:unhideWhenUsed/>
    <w:qFormat/>
    <w:rsid w:val="00cf457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itre4Car"/>
    <w:uiPriority w:val="9"/>
    <w:semiHidden/>
    <w:unhideWhenUsed/>
    <w:qFormat/>
    <w:rsid w:val="00cf457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itre5Car"/>
    <w:uiPriority w:val="9"/>
    <w:semiHidden/>
    <w:unhideWhenUsed/>
    <w:qFormat/>
    <w:rsid w:val="00cf457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itre6Car"/>
    <w:uiPriority w:val="9"/>
    <w:semiHidden/>
    <w:unhideWhenUsed/>
    <w:qFormat/>
    <w:rsid w:val="00cf457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cf457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cf457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cf457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cf4571"/>
    <w:rPr>
      <w:rFonts w:ascii="Calibri Light" w:hAnsi="Calibri Light" w:eastAsia="" w:cs="" w:asciiTheme="majorHAnsi" w:cstheme="majorBidi" w:eastAsiaTheme="majorEastAsia" w:hAnsiTheme="majorHAnsi"/>
      <w:color w:themeColor="accent1" w:themeShade="bf" w:val="2F5496"/>
      <w:sz w:val="40"/>
      <w:szCs w:val="40"/>
    </w:rPr>
  </w:style>
  <w:style w:type="character" w:styleId="Titre2Car" w:customStyle="1">
    <w:name w:val="Titre 2 Car"/>
    <w:basedOn w:val="DefaultParagraphFont"/>
    <w:uiPriority w:val="9"/>
    <w:semiHidden/>
    <w:qFormat/>
    <w:rsid w:val="00cf4571"/>
    <w:rPr>
      <w:rFonts w:ascii="Calibri Light" w:hAnsi="Calibri Light" w:eastAsia="" w:cs="" w:asciiTheme="majorHAnsi" w:cstheme="majorBidi" w:eastAsiaTheme="majorEastAsia" w:hAnsiTheme="majorHAnsi"/>
      <w:color w:themeColor="accent1" w:themeShade="bf" w:val="2F5496"/>
      <w:sz w:val="32"/>
      <w:szCs w:val="32"/>
    </w:rPr>
  </w:style>
  <w:style w:type="character" w:styleId="Titre3Car" w:customStyle="1">
    <w:name w:val="Titre 3 Car"/>
    <w:basedOn w:val="DefaultParagraphFont"/>
    <w:uiPriority w:val="9"/>
    <w:semiHidden/>
    <w:qFormat/>
    <w:rsid w:val="00cf4571"/>
    <w:rPr>
      <w:rFonts w:eastAsia="" w:cs="" w:cstheme="majorBidi" w:eastAsiaTheme="majorEastAsia"/>
      <w:color w:themeColor="accent1" w:themeShade="bf" w:val="2F5496"/>
      <w:sz w:val="28"/>
      <w:szCs w:val="28"/>
    </w:rPr>
  </w:style>
  <w:style w:type="character" w:styleId="Titre4Car" w:customStyle="1">
    <w:name w:val="Titre 4 Car"/>
    <w:basedOn w:val="DefaultParagraphFont"/>
    <w:uiPriority w:val="9"/>
    <w:semiHidden/>
    <w:qFormat/>
    <w:rsid w:val="00cf4571"/>
    <w:rPr>
      <w:rFonts w:eastAsia="" w:cs="" w:cstheme="majorBidi" w:eastAsiaTheme="majorEastAsia"/>
      <w:i/>
      <w:iCs/>
      <w:color w:themeColor="accent1" w:themeShade="bf" w:val="2F5496"/>
    </w:rPr>
  </w:style>
  <w:style w:type="character" w:styleId="Titre5Car" w:customStyle="1">
    <w:name w:val="Titre 5 Car"/>
    <w:basedOn w:val="DefaultParagraphFont"/>
    <w:uiPriority w:val="9"/>
    <w:semiHidden/>
    <w:qFormat/>
    <w:rsid w:val="00cf4571"/>
    <w:rPr>
      <w:rFonts w:eastAsia="" w:cs="" w:cstheme="majorBidi" w:eastAsiaTheme="majorEastAsia"/>
      <w:color w:themeColor="accent1" w:themeShade="bf" w:val="2F5496"/>
    </w:rPr>
  </w:style>
  <w:style w:type="character" w:styleId="Titre6Car" w:customStyle="1">
    <w:name w:val="Titre 6 Car"/>
    <w:basedOn w:val="DefaultParagraphFont"/>
    <w:uiPriority w:val="9"/>
    <w:semiHidden/>
    <w:qFormat/>
    <w:rsid w:val="00cf4571"/>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cf4571"/>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cf4571"/>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cf4571"/>
    <w:rPr>
      <w:rFonts w:eastAsia="" w:cs="" w:cstheme="majorBidi" w:eastAsiaTheme="majorEastAsia"/>
      <w:color w:themeColor="text1" w:themeTint="d8" w:val="272727"/>
    </w:rPr>
  </w:style>
  <w:style w:type="character" w:styleId="TitreCar" w:customStyle="1">
    <w:name w:val="Titre Car"/>
    <w:basedOn w:val="DefaultParagraphFont"/>
    <w:uiPriority w:val="10"/>
    <w:qFormat/>
    <w:rsid w:val="00cf4571"/>
    <w:rPr>
      <w:rFonts w:ascii="Calibri Light" w:hAnsi="Calibri Light"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cf4571"/>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cf4571"/>
    <w:rPr>
      <w:i/>
      <w:iCs/>
      <w:color w:themeColor="text1" w:themeTint="bf" w:val="404040"/>
    </w:rPr>
  </w:style>
  <w:style w:type="character" w:styleId="IntenseEmphasis">
    <w:name w:val="Intense Emphasis"/>
    <w:basedOn w:val="DefaultParagraphFont"/>
    <w:uiPriority w:val="21"/>
    <w:qFormat/>
    <w:rsid w:val="00cf4571"/>
    <w:rPr>
      <w:i/>
      <w:iCs/>
      <w:color w:themeColor="accent1" w:themeShade="bf" w:val="2F5496"/>
    </w:rPr>
  </w:style>
  <w:style w:type="character" w:styleId="CitationintenseCar" w:customStyle="1">
    <w:name w:val="Citation intense Car"/>
    <w:basedOn w:val="DefaultParagraphFont"/>
    <w:link w:val="IntenseQuote"/>
    <w:uiPriority w:val="30"/>
    <w:qFormat/>
    <w:rsid w:val="00cf4571"/>
    <w:rPr>
      <w:i/>
      <w:iCs/>
      <w:color w:themeColor="accent1" w:themeShade="bf" w:val="2F5496"/>
    </w:rPr>
  </w:style>
  <w:style w:type="character" w:styleId="IntenseReference">
    <w:name w:val="Intense Reference"/>
    <w:basedOn w:val="DefaultParagraphFont"/>
    <w:uiPriority w:val="32"/>
    <w:qFormat/>
    <w:rsid w:val="00cf4571"/>
    <w:rPr>
      <w:b/>
      <w:bCs/>
      <w:smallCaps/>
      <w:color w:themeColor="accent1" w:themeShade="bf" w:val="2F5496"/>
      <w:spacing w:val="5"/>
    </w:rPr>
  </w:style>
  <w:style w:type="character" w:styleId="PieddepageCar" w:customStyle="1">
    <w:name w:val="Pied de page Car"/>
    <w:basedOn w:val="DefaultParagraphFont"/>
    <w:uiPriority w:val="99"/>
    <w:qFormat/>
    <w:rsid w:val="00cf4571"/>
    <w:rPr>
      <w:rFonts w:ascii="Times New Roman" w:hAnsi="Times New Roman" w:eastAsia="Times New Roman" w:cs="Times New Roman"/>
      <w:sz w:val="24"/>
      <w:szCs w:val="24"/>
      <w:lang w:eastAsia="fr-FR"/>
    </w:rPr>
  </w:style>
  <w:style w:type="character" w:styleId="Hyperlink">
    <w:name w:val="Hyperlink"/>
    <w:uiPriority w:val="99"/>
    <w:rsid w:val="00cf4571"/>
    <w:rPr>
      <w:color w:val="0000FF"/>
      <w:u w:val="single"/>
    </w:rPr>
  </w:style>
  <w:style w:type="character" w:styleId="CorpsdetexteCar" w:customStyle="1">
    <w:name w:val="Corps de texte Car"/>
    <w:qFormat/>
    <w:rsid w:val="00cf4571"/>
    <w:rPr>
      <w:sz w:val="24"/>
      <w:szCs w:val="24"/>
    </w:rPr>
  </w:style>
  <w:style w:type="character" w:styleId="CorpsdetexteCar1" w:customStyle="1">
    <w:name w:val="Corps de texte Car1"/>
    <w:basedOn w:val="DefaultParagraphFont"/>
    <w:uiPriority w:val="99"/>
    <w:semiHidden/>
    <w:qFormat/>
    <w:rsid w:val="00cf4571"/>
    <w:rPr>
      <w:rFonts w:ascii="Times New Roman" w:hAnsi="Times New Roman" w:eastAsia="Times New Roman" w:cs="Times New Roman"/>
      <w:sz w:val="24"/>
      <w:szCs w:val="24"/>
      <w:lang w:eastAsia="fr-FR"/>
    </w:rPr>
  </w:style>
  <w:style w:type="character" w:styleId="En-tteCar" w:customStyle="1">
    <w:name w:val="En-tête Car"/>
    <w:basedOn w:val="DefaultParagraphFont"/>
    <w:uiPriority w:val="99"/>
    <w:qFormat/>
    <w:rsid w:val="00cf4571"/>
    <w:rPr>
      <w:rFonts w:ascii="Times New Roman" w:hAnsi="Times New Roman" w:eastAsia="Times New Roman" w:cs="Times New Roman"/>
      <w:sz w:val="24"/>
      <w:szCs w:val="24"/>
      <w:lang w:eastAsia="fr-FR"/>
    </w:rPr>
  </w:style>
  <w:style w:type="character" w:styleId="Puces">
    <w:name w:val="Puces"/>
    <w:qFormat/>
    <w:rPr>
      <w:rFonts w:ascii="Calibri" w:hAnsi="Calibri" w:eastAsia="OpenSymbol" w:cs="OpenSymbol"/>
      <w:sz w:val="22"/>
      <w:szCs w:val="22"/>
    </w:rPr>
  </w:style>
  <w:style w:type="character" w:styleId="Caractresdenumrotation">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sdetexteCar"/>
    <w:rsid w:val="00cf4571"/>
    <w:pPr>
      <w:suppressAutoHyphens w:val="true"/>
      <w:overflowPunct w:val="true"/>
      <w:spacing w:before="0" w:after="120"/>
    </w:pPr>
    <w:rPr>
      <w:rFonts w:ascii="Calibri" w:hAnsi="Calibri" w:eastAsia="Calibri" w:cs="" w:asciiTheme="minorHAnsi" w:cstheme="minorBidi" w:eastAsiaTheme="minorHAnsi" w:hAnsiTheme="minorHAnsi"/>
      <w:lang w:eastAsia="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cf4571"/>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cf4571"/>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cf4571"/>
    <w:pPr>
      <w:spacing w:before="160" w:after="0"/>
      <w:jc w:val="center"/>
    </w:pPr>
    <w:rPr>
      <w:i/>
      <w:iCs/>
      <w:color w:themeColor="text1" w:themeTint="bf" w:val="404040"/>
    </w:rPr>
  </w:style>
  <w:style w:type="paragraph" w:styleId="ListParagraph">
    <w:name w:val="List Paragraph"/>
    <w:basedOn w:val="Normal"/>
    <w:uiPriority w:val="34"/>
    <w:qFormat/>
    <w:rsid w:val="00cf4571"/>
    <w:pPr>
      <w:spacing w:before="0" w:after="0"/>
      <w:ind w:left="720"/>
      <w:contextualSpacing/>
    </w:pPr>
    <w:rPr/>
  </w:style>
  <w:style w:type="paragraph" w:styleId="IntenseQuote">
    <w:name w:val="Intense Quote"/>
    <w:basedOn w:val="Normal"/>
    <w:next w:val="Normal"/>
    <w:link w:val="CitationintenseCar"/>
    <w:uiPriority w:val="30"/>
    <w:qFormat/>
    <w:rsid w:val="00cf4571"/>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En-tteetpieddepage">
    <w:name w:val="En-tête et pied de page"/>
    <w:basedOn w:val="Normal"/>
    <w:qFormat/>
    <w:pPr/>
    <w:rPr/>
  </w:style>
  <w:style w:type="paragraph" w:styleId="Footer">
    <w:name w:val="Footer"/>
    <w:basedOn w:val="Normal"/>
    <w:link w:val="PieddepageCar"/>
    <w:uiPriority w:val="99"/>
    <w:rsid w:val="00cf4571"/>
    <w:pPr>
      <w:tabs>
        <w:tab w:val="clear" w:pos="708"/>
        <w:tab w:val="center" w:pos="4536" w:leader="none"/>
        <w:tab w:val="right" w:pos="9072" w:leader="none"/>
      </w:tabs>
    </w:pPr>
    <w:rPr/>
  </w:style>
  <w:style w:type="paragraph" w:styleId="Contenudecadre" w:customStyle="1">
    <w:name w:val="Contenu de cadre"/>
    <w:basedOn w:val="Normal"/>
    <w:qFormat/>
    <w:rsid w:val="00cf4571"/>
    <w:pPr>
      <w:suppressAutoHyphens w:val="true"/>
      <w:overflowPunct w:val="true"/>
    </w:pPr>
    <w:rPr/>
  </w:style>
  <w:style w:type="paragraph" w:styleId="Header">
    <w:name w:val="Header"/>
    <w:basedOn w:val="Normal"/>
    <w:link w:val="En-tteCar"/>
    <w:uiPriority w:val="99"/>
    <w:unhideWhenUsed/>
    <w:rsid w:val="00cf4571"/>
    <w:pPr>
      <w:tabs>
        <w:tab w:val="clear" w:pos="708"/>
        <w:tab w:val="center" w:pos="4536" w:leader="none"/>
        <w:tab w:val="right" w:pos="9072" w:leader="none"/>
      </w:tabs>
    </w:pPr>
    <w:rPr/>
  </w:style>
  <w:style w:type="paragraph" w:styleId="Texteprformat">
    <w:name w:val="Texte préformaté"/>
    <w:basedOn w:val="Normal"/>
    <w:qFormat/>
    <w:pPr>
      <w:spacing w:before="0" w:after="0"/>
    </w:pPr>
    <w:rPr>
      <w:rFonts w:ascii="Liberation Mono" w:hAnsi="Liberation Mono" w:eastAsia="Liberation Mono" w:cs="Liberation Mono"/>
      <w:sz w:val="20"/>
      <w:szCs w:val="20"/>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simon.zana@digital4b.com" TargetMode="External"/><Relationship Id="rId2" Type="http://schemas.openxmlformats.org/officeDocument/2006/relationships/hyperlink" Target="mailto:simon.zana@digital4b.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simon.zana@digital4b.com" TargetMode="External"/><Relationship Id="rId2" Type="http://schemas.openxmlformats.org/officeDocument/2006/relationships/hyperlink" Target="mailto:simon.zana@digital4b.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658</TotalTime>
  <Application>LibreOffice/24.2.7.2$Linux_X86_64 LibreOffice_project/420$Build-2</Application>
  <AppVersion>15.0000</AppVersion>
  <Pages>1</Pages>
  <Words>188</Words>
  <Characters>1018</Characters>
  <CharactersWithSpaces>1160</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2025-12-10T11:43:00Z</dcterms:created>
  <dc:creator>Lucas Buixuanhy</dc:creator>
  <dc:description/>
  <dc:language>fr-FR</dc:language>
  <cp:lastModifiedBy/>
  <dcterms:modified xsi:type="dcterms:W3CDTF">2026-01-07T11:54:25Z</dcterms:modified>
  <cp:revision>259</cp:revision>
  <dc:subject/>
  <dc:title/>
  <dc:identifier/>
</cp:coreProperties>
</file>

<file path=docProps/custom.xml><?xml version="1.0" encoding="utf-8"?>
<Properties xmlns="http://schemas.openxmlformats.org/officeDocument/2006/custom-properties" xmlns:vt="http://schemas.openxmlformats.org/officeDocument/2006/docPropsVTypes"/>
</file>