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de stratégies d’achats alignées aux objectifs business.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processus de sourcing international et négociation de contrats cadres.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mise en place de plans d’atténuation.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des achats durables et intégration des critères RSE.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d’appels d’offres pour achats directs et indirects.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d’acheteurs et d’assistants.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Coordination de projets CAPEX multi‑sites et suivi budgétaire.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Claim management et résolution de litiges fournisseurs.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Reporting stratégique et suivi des économies (savings).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la supply chain amont, chiffrage et optimisation des coûts.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des achats industriels dans les secteurs sidérurgie, ferroviaire, aéronautique et automobile.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Utilisation avancée de SAP pour la gestion des achats et des contrats.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Développement de partenariats fournisseurs à long terme et programmes d’innovation collaborative.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place de tableaux de bord KPI pour le pilotage de la performance achats.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Application des méthodologies Lean Six Sigma pour l’optimisation des processus d’achat.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la conformité réglementaire et des exigences douanières internationales.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de programmes de digitalisation des processus d’approvisionnement (e‑procurement).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Paris‑Saclay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2015-2016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2013-2014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Formation initiale non détaillée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/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10/2024 – 04/2025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Engins miniers, maintenance, pneus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contrats‑cadres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11/2022 – 09/2024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Mouvement complet, composants de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Make‑or‑Buy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10/2021 – 03/2022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Prestations intellectuelles, CAPEX, facility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05/2021 – 10/2021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Travaux neufs et revampings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 : 1 M 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12/2020 – 05/2021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Matériel roulant de train, tramway, métro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05/2019 – 07/2020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Cabine d’avion : sièges, équipements d’urgence, textiles, galleys, éclairages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01/2017 – 04/2019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4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09/2015 – 09/2016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Conversions de véhicule utilitaire léger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d’appels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Make‑or‑Buy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09/2013 – 04/2014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Produits alimentaires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contrats‑cadres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