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/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contextualSpacing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Élaboration et déploiement de stratégies d’achat alignées aux objectifs des filiales, incluant la définition de politiques d’achats directs et indirects.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contextualSpacing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Gestion contractuelle complète, comprenant le contract management, la renégociation de contrats cadres et le suivi du claim management.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contextualSpacing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Pilotage de processus de sourcing international, négociation, analyse des risques fournisseurs et conduite d’appels d’offres (Make‑or‑Buy, panels fournisseurs, rapports de savings).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contextualSpacing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Management fonctionnel d’équipes d’acheteurs, analystes et assistants, avec encadrement de projets transversaux.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contextualSpacing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Gestion de projets achats complexes (CAPEX, électrification de flottes, travaux neufs, rétrofits) en intégrant les exigences de durabilité et de supply‑chain management.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 xml:space="preserve">Bureautique:</w:t>
            </w: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 M, i, c, r, o, s, o, f, t,  , O, f, f, i, c, 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 xml:space="preserve">ERP:</w:t>
            </w: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 S, A, P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3400"/>
        <w:gridCol w:w="3400"/>
        <w:gridCol w:w="3400"/>
      </w:tblGrid>
      <w:tr>
        <w:trPr>
          <w:trHeight w:val="285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/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sidérurgie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w="10200" w:type="dxa"/>
              <w:jc w:val="left"/>
              <w:tblInd w:w="0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</w:tblPr>
            <w:tblGrid>
              <w:gridCol w:w="3400"/>
              <w:gridCol w:w="3400"/>
              <w:gridCol w:w="3400"/>
            </w:tblGrid>
            <w:tr>
              <w:trPr>
                <w:trHeight w:val="285" w:hRule="atLeast"/>
              </w:trPr>
              <w:tc>
                <w:tcPr>
                  <w:tcW w:w="10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>
                  <w:pPr>
                    <w:pStyle w:val="Normal"/>
                    <w:numPr>
                      <w:ilvl w:val="0"/>
                      <w:numId w:val="3"/>
                    </w:numPr>
                    <w:tabs>
                      <w:tab w:val="clear" w:pos="708"/>
                      <w:tab w:val="left" w:pos="1134" w:leader="none"/>
                    </w:tabs>
                    <w:spacing w:before="60" w:after="0"/>
                    <w:ind w:hanging="567" w:left="1134"/>
                    <w:rPr/>
                  </w:pPr>
                  <w:r>
                    <w:rPr>
                      <w:rFonts w:cs="Calibri" w:ascii="Calibri" w:hAnsi="Calibri"/>
                      <w:color w:val="002060"/>
                      <w:sz w:val="20"/>
                      <w:szCs w:val="20"/>
                    </w:rPr>
                    <w:t xml:space="preserve">ferroviaire</w:t>
                  </w:r>
                  <w:r>
                    <w:rPr>
                      <w:rFonts w:cs="Calibri" w:ascii="Calibri" w:hAnsi="Calibri"/>
                      <w:color w:val="000000"/>
                      <w:sz w:val="16"/>
                      <w:szCs w:val="16"/>
                    </w:rPr>
                    <w:t xml:space="preserve"/>
                  </w:r>
                </w:p>
                <w:tbl>
                  <w:tblPr>
                    <w:tblW w:w="10200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5" w:type="dxa"/>
                      <w:bottom w:w="0" w:type="dxa"/>
                      <w:right w:w="5" w:type="dxa"/>
                    </w:tblCellMar>
                  </w:tblPr>
                  <w:tblGrid>
                    <w:gridCol w:w="3400"/>
                    <w:gridCol w:w="3400"/>
                    <w:gridCol w:w="3400"/>
                  </w:tblGrid>
                  <w:tr>
                    <w:trPr>
                      <w:trHeight w:val="285" w:hRule="atLeast"/>
                    </w:trPr>
                    <w:tc>
                      <w:tcPr>
                        <w:tcW w:w="10200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</w:tcPr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tabs>
                            <w:tab w:val="clear" w:pos="708"/>
                            <w:tab w:val="left" w:pos="1134" w:leader="none"/>
                          </w:tabs>
                          <w:spacing w:before="60" w:after="0"/>
                          <w:ind w:hanging="567" w:left="1134"/>
                          <w:rPr/>
                        </w:pPr>
                        <w:r>
                          <w:rPr>
                            <w:rFonts w:cs="Calibri" w:ascii="Calibri" w:hAnsi="Calibri"/>
                            <w:color w:val="002060"/>
                            <w:sz w:val="20"/>
                            <w:szCs w:val="20"/>
                          </w:rPr>
                          <w:t xml:space="preserve">aéronautique</w:t>
                        </w:r>
                        <w:r>
                          <w:rPr>
                            <w:rFonts w:cs="Calibri" w:ascii="Calibri" w:hAnsi="Calibri"/>
                            <w:color w:val="000000"/>
                            <w:sz w:val="16"/>
                            <w:szCs w:val="16"/>
                          </w:rPr>
                          <w:t xml:space="preserve"/>
                        </w:r>
                      </w:p>
                      <w:tbl>
                        <w:tblPr>
                          <w:tblW w:w="10200" w:type="dxa"/>
                          <w:jc w:val="left"/>
                          <w:tblInd w:w="0" w:type="dxa"/>
                          <w:tblLayout w:type="fixed"/>
                          <w:tblCellMar>
                            <w:top w:w="0" w:type="dxa"/>
                            <w:left w:w="5" w:type="dxa"/>
                            <w:bottom w:w="0" w:type="dxa"/>
                            <w:right w:w="5" w:type="dxa"/>
                          </w:tblCellMar>
                        </w:tblPr>
                        <w:tblGrid>
                          <w:gridCol w:w="10200"/>
                        </w:tblGrid>
                        <w:tr>
                          <w:trPr>
                            <w:trHeight w:val="285" w:hRule="atLeast"/>
                          </w:trPr>
                          <w:tc>
                            <w:tcPr>
                              <w:tcW w:w="10200" w:type="dxa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Normal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708"/>
                                  <w:tab w:val="left" w:pos="1134" w:leader="none"/>
                                </w:tabs>
                                <w:spacing w:before="60" w:after="0"/>
                                <w:ind w:hanging="567" w:left="1134"/>
                                <w:rPr/>
                              </w:pPr>
                              <w:r>
                                <w:rPr>
                                  <w:rFonts w:cs="Calibri" w:ascii="Calibri" w:hAnsi="Calibri"/>
                                  <w:color w:val="002060"/>
                                  <w:sz w:val="20"/>
                                  <w:szCs w:val="20"/>
                                </w:rPr>
                                <w:t xml:space="preserve">automobile</w:t>
                              </w:r>
                              <w:r>
                                <w:rPr>
                                  <w:rFonts w:cs="Calibri" w:ascii="Calibri" w:hAnsi="Calibri"/>
                                  <w:color w:val="000000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spacing w:before="0" w:after="1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  <mc:AlternateContent>
                            <mc:Choice Requires="wps">
                              <w:drawing>
                                <wp:inline distT="0" distB="0" distL="0" distR="0" wp14:anchorId="59015D59">
                                  <wp:extent cx="6494145" cy="309880"/>
                                  <wp:effectExtent l="0" t="0" r="20955" b="13970"/>
                                  <wp:docPr id="1004" name="Rectangle : coins arrondis 5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6494040" cy="309960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gradFill rotWithShape="0">
                                            <a:gsLst>
                                              <a:gs pos="0">
                                                <a:srgbClr val="284475"/>
                                              </a:gs>
                                              <a:gs pos="100000">
                                                <a:srgbClr val="4472c4"/>
                                              </a:gs>
                                            </a:gsLst>
                                            <a:lin ang="18900000"/>
                                          </a:gradFill>
                                          <a:ln w="12600">
                                            <a:solidFill>
                                              <a:srgbClr val="02466d"/>
                                            </a:solidFill>
                                            <a:round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txbx>
                                          <w:txbxContent>
                                            <w:p>
                                              <w:pPr>
                                                <w:pStyle w:val="Contenudecadre"/>
                                                <w:jc w:val="center"/>
                                                <w:rPr>
                                                  <w:rFonts w:ascii="Open Sauce Sans Light" w:hAnsi="Open Sauce Sans Light" w:cs="Calibri"/>
                                                  <w:b/>
                                                  <w:color w:val="FFFFFF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cs="Calibri" w:ascii="Open Sauce Sans Light" w:hAnsi="Open Sauce Sans Light"/>
                                                  <w:b/>
                                                  <w:color w:val="FFFFFF"/>
                                                </w:rPr>
                                                <w:t>DIPLÔMES / FORMATION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="t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/>
                            </mc:Fallback>
                          </mc:AlternateContent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</w:rPr>
                          <w:t xml:space="preserve"/>
                        </w:r>
                      </w:p>
                      <w:tbl>
                        <w:tblPr>
                          <w:tblStyle w:val="PlainTable1"/>
                          <w:tblW w:w="10218" w:type="dxa"/>
                          <w:jc w:val="left"/>
                          <w:tblInd w:w="0" w:type="dxa"/>
                          <w:tblLayout w:type="fixed"/>
                          <w:tblCellMar>
                            <w:top w:w="0" w:type="dxa"/>
                            <w:left w:w="5" w:type="dxa"/>
                            <w:bottom w:w="0" w:type="dxa"/>
                            <w:right w:w="5" w:type="dxa"/>
                          </w:tblCellMar>
                        </w:tblPr>
                        <w:tblGrid>
                          <w:gridCol w:w="7481"/>
                          <w:gridCol w:w="2736"/>
                        </w:tblGrid>
                        <w:tr>
                          <w:trPr>
                            <w:trHeight w:val="300" w:hRule="atLeast"/>
                          </w:trPr>
                          <w:tc>
                            <w:tcPr>
                              <w:tcW w:w="7481" w:type="dxa"/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Contenudetableau"/>
                                <w:widowControl/>
                                <w:numPr>
                                  <w:ilvl w:val="0"/>
                                  <w:numId w:val="6"/>
                                </w:numPr>
                                <w:suppressAutoHyphens w:val="true"/>
                                <w:spacing w:lineRule="auto" w:line="240" w:before="0" w:after="0"/>
                                <w:jc w:val="left"/>
                                <w:rPr>
                                  <w:rFonts w:ascii="Calibri" w:hAnsi="Calibri" w:eastAsia="Calibri" w:cs=""/>
                                  <w:b/>
                                  <w:bCs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</w:pPr>
                              <w:r>
                                <w:rPr>
                                  <w:rFonts w:eastAsia="Calibri" w:cs="" w:ascii="Calibri" w:hAnsi="Calibri"/>
                                  <w:b/>
                                  <w:bCs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  <w:r>
                                <w:rPr>
                                  <w:rFonts w:eastAsia="Calibri" w:cs="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  <w:t xml:space="preserve">Master Management global des achats et de la chaîne logistique</w:t>
                              </w:r>
                              <w:r>
                                <w:rPr>
                                  <w:rFonts w:eastAsia="Calibri" w:cs="" w:ascii="Calibri" w:hAnsi="Calibri"/>
                                  <w:b/>
                                  <w:bCs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pStyle w:val="Contenudetableau"/>
                                <w:widowControl/>
                                <w:suppressAutoHyphens w:val="true"/>
                                <w:spacing w:lineRule="auto" w:line="240" w:before="0" w:after="0"/>
                                <w:jc w:val="left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>Université Paris‑Saclay</w:t>
                              </w: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auto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2736" w:type="dxa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Contenudetableau"/>
                                <w:widowControl/>
                                <w:suppressAutoHyphens w:val="true"/>
                                <w:spacing w:lineRule="auto" w:line="240" w:before="0" w:after="0"/>
                                <w:jc w:val="center"/>
                                <w:rPr>
                                  <w:b w:val="false"/>
                                  <w:bCs w:val="false"/>
                                </w:rPr>
                              </w:pPr>
                              <w:r>
                                <w:rPr>
                                  <w:rFonts w:eastAsia="Calibri" w:cs="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  <w:t xml:space="preserve">2015‑2016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</w:rPr>
                          <w:t xml:space="preserve"/>
                        </w:r>
                      </w:p>
                      <w:tbl>
                        <w:tblPr>
                          <w:tblStyle w:val="PlainTable1"/>
                          <w:tblW w:w="10218" w:type="dxa"/>
                          <w:jc w:val="left"/>
                          <w:tblInd w:w="0" w:type="dxa"/>
                          <w:tblLayout w:type="fixed"/>
                          <w:tblCellMar>
                            <w:top w:w="0" w:type="dxa"/>
                            <w:left w:w="5" w:type="dxa"/>
                            <w:bottom w:w="0" w:type="dxa"/>
                            <w:right w:w="5" w:type="dxa"/>
                          </w:tblCellMar>
                        </w:tblPr>
                        <w:tblGrid>
                          <w:gridCol w:w="7481"/>
                          <w:gridCol w:w="2736"/>
                        </w:tblGrid>
                        <w:tr>
                          <w:trPr>
                            <w:trHeight w:val="300" w:hRule="atLeast"/>
                          </w:trPr>
                          <w:tc>
                            <w:tcPr>
                              <w:tcW w:w="7481" w:type="dxa"/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Contenudetableau"/>
                                <w:widowControl/>
                                <w:numPr>
                                  <w:ilvl w:val="0"/>
                                  <w:numId w:val="6"/>
                                </w:numPr>
                                <w:suppressAutoHyphens w:val="true"/>
                                <w:spacing w:lineRule="auto" w:line="240" w:before="0" w:after="0"/>
                                <w:jc w:val="left"/>
                                <w:rPr>
                                  <w:rFonts w:ascii="Calibri" w:hAnsi="Calibri" w:eastAsia="Calibri" w:cs=""/>
                                  <w:b/>
                                  <w:bCs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</w:pPr>
                              <w:r>
                                <w:rPr>
                                  <w:rFonts w:eastAsia="Calibri" w:cs="" w:ascii="Calibri" w:hAnsi="Calibri"/>
                                  <w:b/>
                                  <w:bCs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  <w:r>
                                <w:rPr>
                                  <w:rFonts w:eastAsia="Calibri" w:cs="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  <w:t xml:space="preserve">Master Affaires Internationales</w:t>
                              </w:r>
                              <w:r>
                                <w:rPr>
                                  <w:rFonts w:eastAsia="Calibri" w:cs="" w:ascii="Calibri" w:hAnsi="Calibri"/>
                                  <w:b/>
                                  <w:bCs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pStyle w:val="Contenudetableau"/>
                                <w:widowControl/>
                                <w:suppressAutoHyphens w:val="true"/>
                                <w:spacing w:lineRule="auto" w:line="240" w:before="0" w:after="0"/>
                                <w:jc w:val="left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>Université Paris Nanterre</w:t>
                              </w: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auto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2736" w:type="dxa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Contenudetableau"/>
                                <w:widowControl/>
                                <w:suppressAutoHyphens w:val="true"/>
                                <w:spacing w:lineRule="auto" w:line="240" w:before="0" w:after="0"/>
                                <w:jc w:val="center"/>
                                <w:rPr>
                                  <w:b w:val="false"/>
                                  <w:bCs w:val="false"/>
                                </w:rPr>
                              </w:pPr>
                              <w:r>
                                <w:rPr>
                                  <w:rFonts w:eastAsia="Calibri" w:cs="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  <w:t xml:space="preserve">2013‑2014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</w:rPr>
                          <w:t xml:space="preserve"/>
                        </w:r>
                      </w:p>
                      <w:tbl>
                        <w:tblPr>
                          <w:tblStyle w:val="PlainTable1"/>
                          <w:tblW w:w="10218" w:type="dxa"/>
                          <w:jc w:val="left"/>
                          <w:tblInd w:w="0" w:type="dxa"/>
                          <w:tblLayout w:type="fixed"/>
                          <w:tblCellMar>
                            <w:top w:w="0" w:type="dxa"/>
                            <w:left w:w="5" w:type="dxa"/>
                            <w:bottom w:w="0" w:type="dxa"/>
                            <w:right w:w="5" w:type="dxa"/>
                          </w:tblCellMar>
                        </w:tblPr>
                        <w:tblGrid>
                          <w:gridCol w:w="7481"/>
                          <w:gridCol w:w="2736"/>
                        </w:tblGrid>
                        <w:tr>
                          <w:trPr>
                            <w:trHeight w:val="300" w:hRule="atLeast"/>
                          </w:trPr>
                          <w:tc>
                            <w:tcPr>
                              <w:tcW w:w="7481" w:type="dxa"/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Contenudetableau"/>
                                <w:widowControl/>
                                <w:numPr>
                                  <w:ilvl w:val="0"/>
                                  <w:numId w:val="6"/>
                                </w:numPr>
                                <w:suppressAutoHyphens w:val="true"/>
                                <w:spacing w:lineRule="auto" w:line="240" w:before="0" w:after="0"/>
                                <w:jc w:val="left"/>
                                <w:rPr>
                                  <w:rFonts w:ascii="Calibri" w:hAnsi="Calibri" w:eastAsia="Calibri" w:cs=""/>
                                  <w:b/>
                                  <w:bCs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</w:pPr>
                              <w:r>
                                <w:rPr>
                                  <w:rFonts w:eastAsia="Calibri" w:cs="" w:ascii="Calibri" w:hAnsi="Calibri"/>
                                  <w:b/>
                                  <w:bCs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  <w:r>
                                <w:rPr>
                                  <w:rFonts w:eastAsia="Calibri" w:cs="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  <w:t xml:space="preserve">Formation initiale / diplôme non indiqué</w:t>
                              </w:r>
                              <w:r>
                                <w:rPr>
                                  <w:rFonts w:eastAsia="Calibri" w:cs="" w:ascii="Calibri" w:hAnsi="Calibri"/>
                                  <w:b/>
                                  <w:bCs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pStyle w:val="Contenudetableau"/>
                                <w:widowControl/>
                                <w:suppressAutoHyphens w:val="true"/>
                                <w:spacing w:lineRule="auto" w:line="240" w:before="0" w:after="0"/>
                                <w:jc w:val="left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auto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  <w:r>
                                <w:rPr>
                                  <w:rFonts w:eastAsia="Calibri" w:cs="Calibri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0"/>
                                  <w:szCs w:val="20"/>
                                  <w:lang w:val="fr-FR" w:eastAsia="en-US" w:bidi="ar-SA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2736" w:type="dxa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Contenudetableau"/>
                                <w:widowControl/>
                                <w:suppressAutoHyphens w:val="true"/>
                                <w:spacing w:lineRule="auto" w:line="240" w:before="0" w:after="0"/>
                                <w:jc w:val="center"/>
                                <w:rPr>
                                  <w:b w:val="false"/>
                                  <w:bCs w:val="false"/>
                                </w:rPr>
                              </w:pPr>
                              <w:r>
                                <w:rPr>
                                  <w:rFonts w:eastAsia="Calibri" w:cs="" w:ascii="Calibri" w:hAnsi="Calibri"/>
                                  <w:b w:val="false"/>
                                  <w:bCs w:val="false"/>
                                  <w:color w:val="002060"/>
                                  <w:kern w:val="0"/>
                                  <w:sz w:val="22"/>
                                  <w:szCs w:val="22"/>
                                  <w:lang w:val="fr-FR" w:eastAsia="en-US" w:bidi="ar-SA"/>
                                </w:rPr>
                                <w:t xml:space="preserve">2012‑2013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</w:rPr>
                          <w:t xml:space="preserve"/>
                        </w:r>
                        <w:r>
                          <w:rPr>
                            <w:sz w:val="21"/>
                            <w:szCs w:val="21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  <mc:AlternateContent>
                            <mc:Choice Requires="wps">
                              <w:drawing>
                                <wp:inline distT="0" distB="0" distL="0" distR="0" wp14:anchorId="2466F43A">
                                  <wp:extent cx="6494145" cy="309880"/>
                                  <wp:effectExtent l="0" t="0" r="20955" b="13970"/>
                                  <wp:docPr id="1005" name="Rectangle : coins arrondis 3"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6494040" cy="309960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gradFill rotWithShape="0">
                                            <a:gsLst>
                                              <a:gs pos="0">
                                                <a:srgbClr val="284475"/>
                                              </a:gs>
                                              <a:gs pos="100000">
                                                <a:srgbClr val="4472c4"/>
                                              </a:gs>
                                            </a:gsLst>
                                            <a:lin ang="18900000"/>
                                          </a:gradFill>
                                          <a:ln w="12600">
                                            <a:solidFill>
                                              <a:srgbClr val="02466d"/>
                                            </a:solidFill>
                                            <a:round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txbx>
                                          <w:txbxContent>
                                            <w:p>
                                              <w:pPr>
                                                <w:pStyle w:val="Contenudecadre"/>
                                                <w:jc w:val="center"/>
                                                <w:rPr>
                                                  <w:rFonts w:ascii="Open Sauce Sans Light" w:hAnsi="Open Sauce Sans Light" w:cs="Calibri"/>
                                                  <w:b/>
                                                  <w:color w:val="FFFFFF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cs="Calibri" w:ascii="Open Sauce Sans Light" w:hAnsi="Open Sauce Sans Light"/>
                                                  <w:b/>
                                                  <w:color w:val="FFFFFF"/>
                                                </w:rPr>
                                                <w:t>LANGUES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="t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/>
                            </mc:Fallback>
                          </mc:AlternateContent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</w:rPr>
                          <w:t xml:space="preserve"/>
                        </w:r>
                        <w:r>
                          <w:rPr>
                            <w:rFonts w:cs="Calibri" w:ascii="Calibri" w:hAnsi="Calibri"/>
                            <w:color w:val="002060"/>
                            <w:sz w:val="21"/>
                            <w:szCs w:val="21"/>
                          </w:rPr>
                          <w:tab/>
                        </w:r>
                      </w:p>
                      <w:tbl>
                        <w:tblPr>
                          <w:tblW w:w="7315" w:type="dxa"/>
                          <w:jc w:val="left"/>
                          <w:tblInd w:w="-5" w:type="dxa"/>
                          <w:tblLayout w:type="fixed"/>
                          <w:tblCellMar>
                            <w:top w:w="0" w:type="dxa"/>
                            <w:left w:w="5" w:type="dxa"/>
                            <w:bottom w:w="0" w:type="dxa"/>
                            <w:right w:w="5" w:type="dxa"/>
                          </w:tblCellMar>
                        </w:tblPr>
                        <w:tblGrid>
                          <w:gridCol w:w="1736"/>
                          <w:gridCol w:w="3140"/>
                          <w:gridCol w:w="2438"/>
                        </w:tblGrid>
                        <w:tr>
                          <w:trPr>
                            <w:trHeight w:val="281" w:hRule="atLeast"/>
                          </w:trPr>
                          <w:tc>
                            <w:tcPr>
                              <w:tcW w:w="2604" w:type="dxa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08"/>
                                  <w:tab w:val="left" w:pos="1134" w:leader="none"/>
                                  <w:tab w:val="right" w:pos="5669" w:leader="none"/>
                                  <w:tab w:val="right" w:pos="9071" w:leader="none"/>
                                </w:tabs>
                                <w:spacing w:before="60"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Calibri" w:ascii="Calibri" w:hAnsi="Calibri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 xml:space="preserve">Anglais :</w:t>
                              </w:r>
                            </w:p>
                          </w:tc>
                          <w:tc>
                            <w:tcPr>
                              <w:tcW w:w="4710" w:type="dxa"/>
                              <w:tc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</w:tcBorders>
                            </w:tcPr>
                            <w:p>
                              <w:pPr>
                                <w:pStyle w:val="Normal"/>
                                <w:tabs>
                                  <w:tab w:val="clear" w:pos="708"/>
                                  <w:tab w:val="left" w:pos="1134" w:leader="none"/>
                                </w:tabs>
                                <w:spacing w:before="60" w:after="0"/>
                                <w:ind w:hanging="567" w:left="1134"/>
                                <w:jc w:val="left"/>
                                <w:rPr>
                                  <w:b w:val="false"/>
                                  <w:bCs w:val="false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cs="Calibri" w:ascii="Calibri" w:hAnsi="Calibri"/>
                                  <w:b w:val="false"/>
                                  <w:bCs w:val="false"/>
                                  <w:color w:val="002060"/>
                                  <w:sz w:val="21"/>
                                  <w:szCs w:val="21"/>
                                </w:rPr>
                                <w:t xml:space="preserve">C1</w:t>
                              </w:r>
                              <w:r>
                                <w:rPr>
                                  <w:rFonts w:cs="Calibri" w:ascii="Calibri" w:hAnsi="Calibri"/>
                                  <w:b w:val="false"/>
                                  <w:bCs w:val="false"/>
                                  <w:color w:val="000000"/>
                                  <w:sz w:val="21"/>
                                  <w:szCs w:val="21"/>
                                </w:rPr>
                                <w:t xml:space="preserve"/>
                              </w:r>
                              <w:r>
                                <w:rPr>
                                  <w:rFonts w:cs="Calibri" w:ascii="Calibri" w:hAnsi="Calibri"/>
                                  <w:color w:val="002060"/>
                                  <w:sz w:val="21"/>
                                  <w:szCs w:val="21"/>
                                </w:rPr>
                                <w:tab/>
                              </w:r>
                            </w:p>
                            <w:tbl>
                              <w:tblPr>
                                <w:tblW w:w="7315" w:type="dxa"/>
                                <w:jc w:val="left"/>
                                <w:tblInd w:w="-5" w:type="dxa"/>
                                <w:tblLayout w:type="fixed"/>
                                <w:tblCellMar>
                                  <w:top w:w="0" w:type="dxa"/>
                                  <w:left w:w="5" w:type="dxa"/>
                                  <w:bottom w:w="0" w:type="dxa"/>
                                  <w:right w:w="5" w:type="dxa"/>
                                </w:tblCellMar>
                              </w:tblPr>
                              <w:tblGrid>
                                <w:gridCol w:w="1736"/>
                                <w:gridCol w:w="3140"/>
                                <w:gridCol w:w="2438"/>
                              </w:tblGrid>
                              <w:tr>
                                <w:trPr>
                                  <w:trHeight w:val="281" w:hRule="atLeast"/>
                                </w:trPr>
                                <w:tc>
                                  <w:tcPr>
                                    <w:tcW w:w="2604" w:type="dxa"/>
                                    <w:tcBorders>
                                      <w:top w:val="single" w:sz="4" w:space="0" w:color="FFFFFF"/>
                                      <w:left w:val="single" w:sz="4" w:space="0" w:color="FFFFFF"/>
                                      <w:bottom w:val="single" w:sz="4" w:space="0" w:color="FFFFFF"/>
                                      <w:right w:val="single" w:sz="4" w:space="0" w:color="FFFFFF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numPr>
                                        <w:ilvl w:val="0"/>
                                        <w:numId w:val="4"/>
                                      </w:numPr>
                                      <w:tabs>
                                        <w:tab w:val="clear" w:pos="708"/>
                                        <w:tab w:val="left" w:pos="1134" w:leader="none"/>
                                        <w:tab w:val="right" w:pos="5669" w:leader="none"/>
                                        <w:tab w:val="right" w:pos="9071" w:leader="none"/>
                                      </w:tabs>
                                      <w:spacing w:before="60" w:after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cs="Calibri" w:ascii="Calibri" w:hAnsi="Calibri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  <w:t xml:space="preserve">Espagnol :</w:t>
                                    </w:r>
                                  </w:p>
                                </w:tc>
                                <w:tc>
                                  <w:tcPr>
                                    <w:tcW w:w="4710" w:type="dxa"/>
                                    <w:tcBorders>
                                      <w:top w:val="single" w:sz="4" w:space="0" w:color="FFFFFF"/>
                                      <w:left w:val="single" w:sz="4" w:space="0" w:color="FFFFFF"/>
                                      <w:bottom w:val="single" w:sz="4" w:space="0" w:color="FFFFFF"/>
                                      <w:right w:val="single" w:sz="4" w:space="0" w:color="FFFFFF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tabs>
                                        <w:tab w:val="clear" w:pos="708"/>
                                        <w:tab w:val="left" w:pos="1134" w:leader="none"/>
                                      </w:tabs>
                                      <w:spacing w:before="60" w:after="0"/>
                                      <w:ind w:hanging="567" w:left="1134"/>
                                      <w:jc w:val="left"/>
                                      <w:rPr>
                                        <w:b w:val="false"/>
                                        <w:bCs w:val="false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cs="Calibri" w:ascii="Calibri" w:hAnsi="Calibri"/>
                                        <w:b w:val="false"/>
                                        <w:bCs w:val="false"/>
                                        <w:color w:val="002060"/>
                                        <w:sz w:val="21"/>
                                        <w:szCs w:val="21"/>
                                      </w:rPr>
                                      <w:t xml:space="preserve">C2</w:t>
                                    </w:r>
                                    <w:r>
                                      <w:rPr>
                                        <w:rFonts w:cs="Calibri" w:ascii="Calibri" w:hAnsi="Calibri"/>
                                        <w:b w:val="false"/>
                                        <w:bCs w:val="false"/>
                                        <w:color w:val="000000"/>
                                        <w:sz w:val="21"/>
                                        <w:szCs w:val="21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cs="Calibri" w:ascii="Calibri" w:hAnsi="Calibri"/>
                                        <w:color w:val="002060"/>
                                        <w:sz w:val="21"/>
                                        <w:szCs w:val="21"/>
                                      </w:rPr>
                                      <w:tab/>
                                    </w:r>
                                  </w:p>
                                  <w:tbl>
                                    <w:tblPr>
                                      <w:tblW w:w="7315" w:type="dxa"/>
                                      <w:jc w:val="left"/>
                                      <w:tblInd w:w="-5" w:type="dxa"/>
                                      <w:tblLayout w:type="fixed"/>
                                      <w:tblCellMar>
                                        <w:top w:w="0" w:type="dxa"/>
                                        <w:left w:w="5" w:type="dxa"/>
                                        <w:bottom w:w="0" w:type="dxa"/>
                                        <w:right w:w="5" w:type="dxa"/>
                                      </w:tblCellMar>
                                    </w:tblPr>
                                    <w:tblGrid>
                                      <w:gridCol w:w="1736"/>
                                      <w:gridCol w:w="3140"/>
                                      <w:gridCol w:w="2438"/>
                                    </w:tblGrid>
                                    <w:tr>
                                      <w:trPr>
                                        <w:trHeight w:val="281" w:hRule="atLeast"/>
                                      </w:trPr>
                                      <w:tc>
                                        <w:tcPr>
                                          <w:tcW w:w="2604" w:type="dxa"/>
                                          <w:tcBorders>
                                            <w:top w:val="single" w:sz="4" w:space="0" w:color="FFFFFF"/>
                                            <w:left w:val="single" w:sz="4" w:space="0" w:color="FFFFFF"/>
                                            <w:bottom w:val="single" w:sz="4" w:space="0" w:color="FFFFFF"/>
                                            <w:right w:val="single" w:sz="4" w:space="0" w:color="FFFFFF"/>
                                          </w:tcBorders>
                                        </w:tcPr>
                                        <w:p>
                                          <w:pPr>
                                            <w:pStyle w:val="Normal"/>
                                            <w:numPr>
                                              <w:ilvl w:val="0"/>
                                              <w:numId w:val="4"/>
                                            </w:numPr>
                                            <w:tabs>
                                              <w:tab w:val="clear" w:pos="708"/>
                                              <w:tab w:val="left" w:pos="1134" w:leader="none"/>
                                              <w:tab w:val="right" w:pos="5669" w:leader="none"/>
                                              <w:tab w:val="right" w:pos="9071" w:leader="none"/>
                                            </w:tabs>
                                            <w:spacing w:before="60" w:after="0"/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cs="Calibri" w:ascii="Calibri" w:hAnsi="Calibri"/>
                                              <w:b/>
                                              <w:bCs/>
                                              <w:color w:val="002060"/>
                                              <w:sz w:val="20"/>
                                              <w:szCs w:val="20"/>
                                            </w:rPr>
                                            <w:t xml:space="preserve">Allemand 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710" w:type="dxa"/>
                                          <w:tcBorders>
                                            <w:top w:val="single" w:sz="4" w:space="0" w:color="FFFFFF"/>
                                            <w:left w:val="single" w:sz="4" w:space="0" w:color="FFFFFF"/>
                                            <w:bottom w:val="single" w:sz="4" w:space="0" w:color="FFFFFF"/>
                                            <w:right w:val="single" w:sz="4" w:space="0" w:color="FFFFFF"/>
                                          </w:tcBorders>
                                        </w:tcPr>
                                        <w:p>
                                          <w:pPr>
                                            <w:pStyle w:val="Normal"/>
                                            <w:tabs>
                                              <w:tab w:val="clear" w:pos="708"/>
                                              <w:tab w:val="left" w:pos="1134" w:leader="none"/>
                                            </w:tabs>
                                            <w:spacing w:before="60" w:after="0"/>
                                            <w:ind w:hanging="567" w:left="1134"/>
                                            <w:jc w:val="left"/>
                                            <w:rPr>
                                              <w:b w:val="false"/>
                                              <w:bCs w:val="fals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cs="Calibri" w:ascii="Calibri" w:hAnsi="Calibri"/>
                                              <w:b w:val="false"/>
                                              <w:bCs w:val="false"/>
                                              <w:color w:val="002060"/>
                                              <w:sz w:val="21"/>
                                              <w:szCs w:val="21"/>
                                            </w:rPr>
                                            <w:t xml:space="preserve">B2</w:t>
                                          </w:r>
                                          <w:r>
                                            <w:rPr>
                                              <w:rFonts w:cs="Calibri" w:ascii="Calibri" w:hAnsi="Calibri"/>
                                              <w:b w:val="false"/>
                                              <w:bCs w:val="false"/>
                                              <w:color w:val="000000"/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  <w:r>
                                            <w:rPr>
                                              <w:rFonts w:cs="Calibri" w:ascii="Calibri" w:hAnsi="Calibri"/>
                                              <w:color w:val="002060"/>
                                              <w:sz w:val="21"/>
                                              <w:szCs w:val="21"/>
                                            </w:rPr>
                                            <w:tab/>
                                          </w:r>
                                        </w:p>
                                        <w:tbl>
                                          <w:tblPr>
                                            <w:tblW w:w="7315" w:type="dxa"/>
                                            <w:jc w:val="left"/>
                                            <w:tblInd w:w="-5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2604"/>
                                            <w:gridCol w:w="4710"/>
                                          </w:tblGrid>
                                          <w:tr>
                                            <w:trPr>
                                              <w:trHeight w:val="281" w:hRule="atLeast"/>
                                            </w:trPr>
                                            <w:tc>
                                              <w:tcPr>
                                                <w:tcW w:w="2604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Normal"/>
                                                  <w:numPr>
                                                    <w:ilvl w:val="0"/>
                                                    <w:numId w:val="4"/>
                                                  </w:numPr>
                                                  <w:tabs>
                                                    <w:tab w:val="clear" w:pos="708"/>
                                                    <w:tab w:val="left" w:pos="1134" w:leader="none"/>
                                                    <w:tab w:val="right" w:pos="5669" w:leader="none"/>
                                                    <w:tab w:val="right" w:pos="9071" w:leader="none"/>
                                                  </w:tabs>
                                                  <w:spacing w:before="60" w:after="0"/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cs="Calibri" w:ascii="Calibri" w:hAnsi="Calibri"/>
                                                    <w:b/>
                                                    <w:bCs/>
                                                    <w:color w:val="00206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Portugais :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71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Normal"/>
                                                  <w:tabs>
                                                    <w:tab w:val="clear" w:pos="708"/>
                                                    <w:tab w:val="left" w:pos="1134" w:leader="none"/>
                                                  </w:tabs>
                                                  <w:spacing w:before="60" w:after="0"/>
                                                  <w:ind w:hanging="567" w:left="1134"/>
                                                  <w:jc w:val="left"/>
                                                  <w:rPr>
                                                    <w:b w:val="false"/>
                                                    <w:bCs w:val="false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cs="Calibri" w:ascii="Calibri" w:hAnsi="Calibri"/>
                                                    <w:b w:val="false"/>
                                                    <w:bCs w:val="false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B1</w:t>
                                                </w:r>
                                                <w:r>
                                                  <w:rPr>
                                                    <w:rFonts w:cs="Calibri" w:ascii="Calibri" w:hAnsi="Ca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tabs>
                                              <w:tab w:val="clear" w:pos="708"/>
                                              <w:tab w:val="left" w:pos="1134" w:leader="none"/>
                                            </w:tabs>
                                            <w:spacing w:before="60" w:after="0"/>
                                            <w:ind w:hanging="567" w:left="1134"/>
                                            <w:jc w:val="left"/>
                                            <w:rPr>
                                              <w:b w:val="false"/>
                                              <w:bCs w:val="fals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cs="Calibri" w:ascii="Calibri" w:hAnsi="Calibri"/>
                                              <w:b w:val="false"/>
                                              <w:bCs w:val="false"/>
                                              <w:color w:val="000000"/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  <mc:AlternateContent>
                                              <mc:Choice Requires="wps">
                                                <w:drawing>
                                                  <wp:inline distT="0" distB="0" distL="0" distR="0" wp14:anchorId="1CB42732">
                                                    <wp:extent cx="6494145" cy="309880"/>
                                                    <wp:effectExtent l="0" t="0" r="20955" b="13970"/>
                                                    <wp:docPr id="1006" name="Rectangle : coins arrondis 1"/>
                                                    <a:graphic xmlns:a="http://schemas.openxmlformats.org/drawingml/2006/main">
                                                      <a:graphicData uri="http://schemas.microsoft.com/office/word/2010/wordprocessingShape">
                                                        <wps:wsp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0" y="0"/>
                                                              <a:ext cx="6494040" cy="309960"/>
                                                            </a:xfrm>
                                                            <a:prstGeom prst="roundRect">
                                                              <a:avLst>
                                                                <a:gd name="adj" fmla="val 16667"/>
                                                              </a:avLst>
                                                            </a:prstGeom>
                                                            <a:gradFill rotWithShape="0">
                                                              <a:gsLst>
                                                                <a:gs pos="0">
                                                                  <a:srgbClr val="284475"/>
                                                                </a:gs>
                                                                <a:gs pos="100000">
                                                                  <a:srgbClr val="4472c4"/>
                                                                </a:gs>
                                                              </a:gsLst>
                                                              <a:lin ang="18900000"/>
                                                            </a:gradFill>
                                                            <a:ln w="12600">
                                                              <a:solidFill>
                                                                <a:srgbClr val="02466d"/>
                                                              </a:solidFill>
                                                              <a:round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0"/>
                                                            <a:fillRef idx="0"/>
                                                            <a:effectRef idx="0"/>
                                                            <a:fontRef idx="minor"/>
                                                          </wps:style>
                                                          <wps:txbx>
                                                            <w:txbxContent>
                                                              <w:p>
                                                                <w:pPr>
                                                                  <w:pStyle w:val="Contenudecadre"/>
                                                                  <w:jc w:val="center"/>
                                                                  <w:rPr>
                                                                    <w:rFonts w:ascii="Open Sauce Sans Light" w:hAnsi="Open Sauce Sans Light" w:cs="Calibri"/>
                                                                    <w:b/>
                                                                    <w:color w:val="FFFFFF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cs="Calibri" w:ascii="Open Sauce Sans Light" w:hAnsi="Open Sauce Sans Light"/>
                                                                    <w:b/>
                                                                    <w:color w:val="FFFFFF"/>
                                                                  </w:rPr>
                                                                  <w:t>EXPÉRIENCES PROFESSIONNELLES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="t">
                                                            <a:noAutofit/>
                                                          </wps:bodyPr>
                                                        </wps:wsp>
                                                      </a:graphicData>
                                                    </a:graphic>
                                                  </wp:inline>
                                                </w:drawing>
                                              </mc:Choice>
                                              <mc:Fallback>
                                                <w:pict/>
                                              </mc:Fallback>
                                            </mc:AlternateContent>
                                          </w:r>
                                        </w:p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ERAMET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10/2024 – 04/2025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7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Category Manager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Engins miniers, maintenance, pneus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Élaboration &amp; déploiement de la stratégie achat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Contract management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Renégociation des contrats cadres de maintenance d’engins miniers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Chef de projet achats électrification flotte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Management fonctionnel des acheteurs en local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OFFICINE PANERAI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11/2022 – 09/2024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1 an et 10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Acheteur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Mouvement complet, composants de mouvements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Analyse Make‑or‑Buy sur le portefeuille mouvements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Appels d’offres des pièces achetées et sous‑traitées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Création d’un panel de fournisseurs pour les composants des mouvements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Rapports stratégiques incluant savings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ALTEN POUR ALSTOM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10/2021 – 03/2022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6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Consultant manager achats indirects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Prestations intellectuelles, CAPEX, facility management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Gestion des appels d’offres catégories indirectes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Élaboration de la stratégie achat indirect &amp; CAPEX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Management fonctionnel d’une analyste achat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ALTEN POUR ARCELORMITTAL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05/2021 – 10/2021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6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Consultant acheteur CAPEX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Travaux neufs et revampings (lots génie civil) sur 7 sites industriels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Gestion des appels d’offres projets travaux neufs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Management fonctionnel de deux assistants achats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Résultat : 1 M € de savings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MASTERIS – GROUPE SNCF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12/2020 – 05/2021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6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Consultant acheteur ferroviaire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Matériel roulant (train, tramway, métro)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Achat projet : rénovation des métros de Lille (compresseur, convertisseur, tachymètres)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Claim Management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Gestion des chiffrages achat amont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Gestion des pièces de rechange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Management fonctionnel de deux assistants achats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ALTRAN POUR AIRBUS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05/2019 – 07/2020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1 an et 2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Consultant acheteur aéronautique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Cabine d’avion : sièges, équipements d’urgence, textiles, galleys, éclairages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Gestion de projet achat logistique pour les rétrofits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Claim Management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Gestion des appels d’offres upgrades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Projet A220 : analyse des contrats, recherche de communalités In‑Service Issues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Management fonctionnel de deux assistants achats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SWISS INTERNATIONAL AIRLINES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01/2017 – 04/2019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2 ans et 4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Personnel Navigant Commercial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Missions commerciales et de liaison client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RENAULT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09/2015 – 09/2016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1 an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Acheteur automobile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Conversions de véhicules utilitaires légers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Achat projet : conversion d’un minibus haut de gamme et loisirs (habillages intérieurs)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Gestion d’appels d’offres sièges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Audit fournisseurs : qualité, innovation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Construction du panel fournisseurs et cartographie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Analyse TCO, optimisation coûts logistique, Make‑or‑Buy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2" w:type="dxa"/>
                                              <w:bottom w:w="57" w:type="dxa"/>
                                              <w:right w:w="0" w:type="dxa"/>
                                            </w:tblCellMar>
                                          </w:tblPr>
                                          <w:tblGrid>
                                            <w:gridCol w:w="4137"/>
                                            <w:gridCol w:w="3407"/>
                                            <w:gridCol w:w="2656"/>
                                          </w:tblGrid>
                                          <w:tr>
                                            <w:trPr>
                                              <w:trHeight w:val="225" w:hRule="atLeast"/>
                                            </w:trPr>
                                            <w:tc>
                                              <w:tcPr>
                                                <w:tcW w:w="413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</w:rPr>
                                                  <w:t xml:space="preserve">WORLD AND MORE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407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>
                                                    <w:rFonts w:ascii="Open Sauce Sans Light" w:hAnsi="Open Sauce Sans Light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09/2013 – 04/2014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2656" w:type="dxa"/>
                                                <w:tcBorders>
                                                  <w:top w:val="single" w:sz="2" w:space="0" w:color="FFFFFF"/>
                                                  <w:left w:val="single" w:sz="2" w:space="0" w:color="FFFFFF"/>
                                                  <w:bottom w:val="single" w:sz="2" w:space="0" w:color="000000"/>
                                                  <w:right w:val="single" w:sz="2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jc w:val="center"/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8 mois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Normal"/>
                                            <w:rPr/>
                                          </w:pPr>
                                          <w:r>
                                            <w:rPr/>
                                          </w:r>
                                        </w:p>
                                        <w:tbl>
                                          <w:tblPr>
                                            <w:tblW w:w="10200" w:type="dxa"/>
                                            <w:jc w:val="left"/>
                                            <w:tblInd w:w="0" w:type="dxa"/>
                                            <w:tblLayout w:type="fixed"/>
                                            <w:tblCellMar>
                                              <w:top w:w="0" w:type="dxa"/>
                                              <w:left w:w="5" w:type="dxa"/>
                                              <w:bottom w:w="0" w:type="dxa"/>
                                              <w:right w:w="5" w:type="dxa"/>
                                            </w:tblCellMar>
                                          </w:tblPr>
                                          <w:tblGrid>
                                            <w:gridCol w:w="10200"/>
                                          </w:tblGrid>
                                          <w:tr>
                                            <w:trPr>
                                              <w:trHeight w:val="388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Open Sauce Sans Light" w:hAnsi="Open Sauce Sans Light"/>
                                                    <w:b/>
                                                    <w:bCs/>
                                                    <w:color w:val="00206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>Acheteur alimentaire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top w:val="single" w:sz="4" w:space="0" w:color="FFFFFF"/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BodyText"/>
                                                  <w:spacing w:before="0" w:after="120"/>
                                                  <w:rPr>
                                                    <w:rFonts w:ascii="Callibri" w:hAnsi="Cal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b w:val="false"/>
                                                    <w:bCs w:val="false"/>
                                                    <w:color w:val="000000"/>
                                                    <w:sz w:val="21"/>
                                                    <w:szCs w:val="21"/>
                                                    <w:u w:val="none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Définition du besoin en achat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Sourcing de produits alimentaires (Espagne, Turquie)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Contenudetableau"/>
                                                  <w:numPr>
                                                    <w:ilvl w:val="0"/>
                                                    <w:numId w:val="5"/>
                                                  </w:numPr>
                                                  <w:rPr/>
                                                </w:pP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206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>Analyse et renégociation des contrats cadres</w:t>
                                                </w:r>
                                                <w:r>
                                                  <w:rPr>
                                                    <w:rFonts w:ascii="Callibri" w:hAnsi="Callibri"/>
                                                    <w:color w:val="000000"/>
                                                    <w:sz w:val="21"/>
                                                    <w:szCs w:val="21"/>
                                                  </w:rPr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rPr>
                                              <w:trHeight w:val="269" w:hRule="atLeast"/>
                                            </w:trPr>
                                            <w:tc>
                                              <w:tcPr>
                                                <w:tcW w:w="10200" w:type="dxa"/>
                                                <w:tcBorders>
                                                  <w:left w:val="single" w:sz="4" w:space="0" w:color="FFFFFF"/>
                                                  <w:bottom w:val="single" w:sz="4" w:space="0" w:color="FFFFFF"/>
                                                  <w:right w:val="single" w:sz="4" w:space="0" w:color="FFFFFF"/>
                                                </w:tcBorders>
                                              </w:tcPr>
                                              <w:p>
                                                <w:pPr>
                                                  <w:pStyle w:val="Contenudetableau"/>
                                                  <w:rPr/>
                                                </w:pPr>
                                                <w:r>
                                                  <w:rPr/>
                                                  <w:t xml:space="preserve"/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pStyle w:val="Contenudetableau"/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</w:r>
                                        </w:p>
                                        <w:p>
                                          <w:pPr>
                                            <w:pStyle w:val="Contenudetableau"/>
                                            <w:spacing w:before="0" w:after="120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szCs w:val="21"/>
                                            </w:rPr>
                                            <w:t xml:space="preserve"/>
                                          </w:r>
                                        </w:p>
                                        <w:sectPr>
                                          <w:headerReference w:type="even" r:id="rId2"/>
                                          <w:headerReference w:type="default" r:id="rId3"/>
                                          <w:headerReference w:type="first" r:id="rId4"/>
                                          <w:footerReference w:type="even" r:id="rId5"/>
                                          <w:footerReference w:type="default" r:id="rId6"/>
                                          <w:footerReference w:type="first" r:id="rId7"/>
                                          <w:type w:val="nextPage"/>
                                          <w:pgSz w:w="11906" w:h="16838"/>
                                          <w:pgMar w:left="709" w:right="748" w:gutter="0" w:header="283" w:top="851" w:footer="214" w:bottom="1276"/>
                                          <w:pgNumType w:fmt="decimal"/>
                                          <w:formProt w:val="false"/>
                                          <w:textDirection w:val="lrTb"/>
                                          <w:docGrid w:type="default" w:linePitch="360" w:charSpace="0"/>
                                        </w:sectPr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2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2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002060"/>
      </w:rPr>
    </w:pPr>
    <w:r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83820</wp:posOffset>
          </wp:positionH>
          <wp:positionV relativeFrom="paragraph">
            <wp:posOffset>-85725</wp:posOffset>
          </wp:positionV>
          <wp:extent cx="781050" cy="781050"/>
          <wp:effectExtent l="0" t="0" r="0" b="0"/>
          <wp:wrapNone/>
          <wp:docPr id="7" name="drawi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drawi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</w:rPr>
      <w:t xml:space="preserve">CPE</w:t>
    </w:r>
  </w:p>
  <w:p>
    <w:pPr>
      <w:pStyle w:val="Header"/>
      <w:jc w:val="right"/>
      <w:rPr>
        <w:b/>
        <w:bCs/>
        <w:color w:val="002060"/>
        <w:sz w:val="36"/>
        <w:szCs w:val="36"/>
      </w:rPr>
    </w:pPr>
    <w:r>
      <w:rPr>
        <w:b/>
        <w:bCs/>
        <w:color w:val="002060"/>
        <w:sz w:val="36"/>
        <w:szCs w:val="36"/>
      </w:rPr>
      <w:t xml:space="preserve">Category Manager</w:t>
    </w:r>
  </w:p>
  <w:p>
    <w:pPr>
      <w:pStyle w:val="Header"/>
      <w:jc w:val="right"/>
      <w:rPr>
        <w:color w:val="002060"/>
      </w:rPr>
    </w:pPr>
    <w:r>
      <w:rPr>
        <w:color w:val="002060"/>
      </w:rPr>
      <w:t xml:space="preserve">9 ans d'expériences</w:t>
    </w:r>
  </w:p>
  <w:p>
    <w:pPr>
      <w:pStyle w:val="Header"/>
      <w:bidi w:val="0"/>
      <w:jc w:val="right"/>
      <w:rPr>
        <w:color w:val="002060"/>
      </w:rPr>
    </w:pPr>
    <w:r>
      <w:rPr>
        <w:color w:val="00206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002060"/>
      </w:rPr>
    </w:pPr>
    <w:r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83820</wp:posOffset>
          </wp:positionH>
          <wp:positionV relativeFrom="paragraph">
            <wp:posOffset>-85725</wp:posOffset>
          </wp:positionV>
          <wp:extent cx="781050" cy="781050"/>
          <wp:effectExtent l="0" t="0" r="0" b="0"/>
          <wp:wrapNone/>
          <wp:docPr id="8" name="drawi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rawi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</w:rPr>
      <w:t xml:space="preserve">CPE</w:t>
    </w:r>
  </w:p>
  <w:p>
    <w:pPr>
      <w:pStyle w:val="Header"/>
      <w:jc w:val="right"/>
      <w:rPr>
        <w:b/>
        <w:bCs/>
        <w:color w:val="002060"/>
        <w:sz w:val="36"/>
        <w:szCs w:val="36"/>
      </w:rPr>
    </w:pPr>
    <w:r>
      <w:rPr>
        <w:b/>
        <w:bCs/>
        <w:color w:val="002060"/>
        <w:sz w:val="36"/>
        <w:szCs w:val="36"/>
      </w:rPr>
      <w:t xml:space="preserve">Category Manager</w:t>
    </w:r>
  </w:p>
  <w:p>
    <w:pPr>
      <w:pStyle w:val="Header"/>
      <w:jc w:val="right"/>
      <w:rPr>
        <w:color w:val="002060"/>
      </w:rPr>
    </w:pPr>
    <w:r>
      <w:rPr>
        <w:color w:val="002060"/>
      </w:rPr>
      <w:t xml:space="preserve">9 ans d'expériences</w:t>
    </w:r>
  </w:p>
  <w:p>
    <w:pPr>
      <w:pStyle w:val="Header"/>
      <w:bidi w:val="0"/>
      <w:jc w:val="right"/>
      <w:rPr>
        <w:color w:val="002060"/>
      </w:rPr>
    </w:pPr>
    <w:r>
      <w:rPr>
        <w:color w:val="00206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au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  <Pages>1</Pages>
  <Words>194</Words>
  <Characters>1021</Characters>
  <CharactersWithSpaces>1168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2026-01-05T10:14:01Z</dcterms:modified>
  <cp:revision>266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