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9"/>
        <w:rPr>
          <w:sz w:val="21"/>
          <w:szCs w:val="21"/>
        </w:rPr>
      </w:pPr>
      <w:r>
        <w:rPr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1" name="Rectangle : coins arrondis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Rectangle : coins arrondis 1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DOMAINES DE COMPÉTENCES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1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DOMAINES DE COMPÉTENCES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cs="Calibri"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Élaboration et déploiement de la stratégie d’achats au sein de filiales, incluant le contract management et la renégociation de contrats‑cadres.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Pilotage du sourcing et des appels d’offres (directs et indirects) avec négociation internationale et prise en compte du droit des contrats et des critères de durabilité.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Gestion de projets achats complexes (électrification de flotte, ferroviaire, aéronautique, automobile) et management fonctionnel d’équipes d’acheteurs et d’assistants.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Analyse de la chaîne d’approvisionnement, réalisation d’études “Make‑or‑Buy”, chiffrages d’achats amont, gestion des pièces de rechange et du claim management.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2" name="Rectangle : coins arrondis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Rectangle : coins arrondis 9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OUTILS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9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OUTILS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ERP: SAP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Bureautique: Microsoft Office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Langues: Anglais (Avancé), Espagnol (Maîtrise), Allemand (Intermédiaire avancé), Portugais (Intermédiaire)</w:t>
      </w:r>
    </w:p>
    <w:p>
      <w:pPr>
        <w:pStyle w:val="Normal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spacing w:before="0" w:after="19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12065"/>
                <wp:docPr id="1003" name="Rectangle : coins arrondis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Rectangle : coins arrondis 7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SECTEURS D’ACTIVITÉ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7" fillcolor="#284475" stroked="t" o:allowincell="f" style="position:absolute;margin-left:0pt;margin-top:-25.4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SECTEURS D’ACTIVITÉ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19"/>
        <w:rPr>
          <w:sz w:val="16"/>
          <w:szCs w:val="16"/>
        </w:rPr>
      </w:pPr>
      <w:r>
        <w:rPr>
          <w:rFonts w:ascii="Calibri" w:hAnsi="Calibri"/>
          <w:sz w:val="16"/>
          <w:szCs w:val="16"/>
        </w:rPr>
        <w:t xml:space="preserve"/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sidérurgie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ferroviaire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aéronautique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automobile</w:t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left="1134"/>
        <w:rPr>
          <w:rFonts w:ascii="Calibri" w:hAnsi="Calibri" w:cs="Calibri"/>
          <w:color w:val="000000"/>
        </w:rPr>
      </w:pPr>
      <w:r>
        <w:rPr>
          <w:rFonts w:cs="Calibri" w:ascii="Calibri" w:hAnsi="Calibri"/>
          <w:color w:val="000000"/>
        </w:rPr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4" name="Rectangle : coins arrondis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Rectangle : coins arrondis 5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DIPLÔMES / FORMATION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5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DIPLÔMES / FORMATION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1"/>
                <w:numId w:val="5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 xml:space="preserve">Master Management global des achats et de la chaîne logistique</w:t>
              <w:br/>
              <w:t xml:space="preserve">Université Paris‑Saclay</w:t>
            </w:r>
          </w:p>
        </w:tc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jc w:val="center"/>
              <w:rPr/>
            </w:pPr>
            <w:r>
              <w:rPr>
                <w:rFonts w:eastAsia="Calibri" w:ascii="Calibri" w:hAnsi="Calibri"/>
                <w:color w:val="002060"/>
                <w:sz w:val="22"/>
                <w:szCs w:val="22"/>
                <w:lang w:eastAsia="en-US"/>
              </w:rPr>
              <w:t xml:space="preserve">2016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tbl>
      <w:tblPr>
        <w:tblW w:w="10218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7481"/>
        <w:gridCol w:w="2736"/>
      </w:tblGrid>
      <w:tr>
        <w:trPr>
          <w:trHeight w:val="300" w:hRule="atLeast"/>
        </w:trPr>
        <w:tc>
          <w:tcPr>
            <w:tcW w:w="74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Normal"/>
              <w:numPr>
                <w:ilvl w:val="1"/>
                <w:numId w:val="5"/>
              </w:numPr>
              <w:tabs>
                <w:tab w:val="clear" w:pos="708"/>
                <w:tab w:val="left" w:pos="1134" w:leader="none"/>
              </w:tabs>
              <w:suppressAutoHyphens w:val="false"/>
              <w:spacing w:before="60" w:after="0"/>
              <w:ind w:hanging="567" w:left="1134"/>
              <w:rPr>
                <w:rFonts w:ascii="Calibri" w:hAnsi="Calibri" w:cs="Calibri"/>
                <w:color w:val="002060"/>
                <w:sz w:val="22"/>
                <w:szCs w:val="22"/>
              </w:rPr>
            </w:pPr>
            <w:r>
              <w:rPr>
                <w:rFonts w:cs="Calibri" w:ascii="Calibri" w:hAnsi="Calibri"/>
                <w:color w:val="002060"/>
                <w:sz w:val="22"/>
                <w:szCs w:val="22"/>
              </w:rPr>
              <w:t xml:space="preserve">Master Affaires Internationales</w:t>
              <w:br/>
              <w:t xml:space="preserve">Université Paris Nanterre</w:t>
            </w:r>
          </w:p>
        </w:tc>
        <w:tc>
          <w:tcPr>
            <w:tcW w:w="27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widowControl/>
              <w:jc w:val="center"/>
              <w:rPr/>
            </w:pPr>
            <w:r>
              <w:rPr>
                <w:rFonts w:eastAsia="Calibri" w:ascii="Calibri" w:hAnsi="Calibri"/>
                <w:color w:val="002060"/>
                <w:sz w:val="22"/>
                <w:szCs w:val="22"/>
                <w:lang w:eastAsia="en-US"/>
              </w:rPr>
              <w:t xml:space="preserve">2014</w:t>
            </w:r>
          </w:p>
        </w:tc>
      </w:tr>
    </w:tbl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  <w:r>
        <w:rPr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5" name="Rectangle : coins arrondis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Rectangle : coins arrondis 3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LANGUES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3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LANGUES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>
          <w:sz w:val="21"/>
          <w:szCs w:val="21"/>
        </w:rPr>
      </w:pPr>
      <w:r>
        <w:rPr>
          <w:rFonts w:ascii="Calibri" w:hAnsi="Calibri"/>
          <w:sz w:val="21"/>
          <w:szCs w:val="21"/>
        </w:rPr>
        <w:t xml:space="preserve"/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Anglais :  </w:t>
        <w:tab/>
        <w:t xml:space="preserve">C1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Espagnol :  </w:t>
        <w:tab/>
        <w:t xml:space="preserve">C2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Allemand :  </w:t>
        <w:tab/>
        <w:t xml:space="preserve">B2</w:t>
      </w:r>
    </w:p>
    <w:p>
      <w:pPr>
        <w:pStyle w:val="Normal"/>
        <w:numPr>
          <w:ilvl w:val="0"/>
          <w:numId w:val="6"/>
        </w:numPr>
        <w:tabs>
          <w:tab w:val="clear" w:pos="708"/>
          <w:tab w:val="left" w:pos="1134" w:leader="none"/>
        </w:tabs>
        <w:suppressAutoHyphens w:val="false"/>
        <w:spacing w:before="60" w:after="0"/>
        <w:ind w:hanging="567" w:left="1134"/>
        <w:rPr>
          <w:rFonts w:ascii="Calibri" w:hAnsi="Calibri" w:cs="Calibri"/>
          <w:color w:val="002060"/>
          <w:sz w:val="22"/>
          <w:szCs w:val="22"/>
        </w:rPr>
      </w:pPr>
      <w:r>
        <w:rPr>
          <w:rFonts w:cs="Calibri" w:ascii="Calibri" w:hAnsi="Calibri"/>
          <w:color w:val="002060"/>
          <w:sz w:val="22"/>
          <w:szCs w:val="22"/>
        </w:rPr>
        <w:t xml:space="preserve">Portugais :  </w:t>
        <w:tab/>
        <w:t xml:space="preserve">B1</w:t>
        <w:tab/>
      </w:r>
    </w:p>
    <w:p>
      <w:pPr>
        <w:pStyle w:val="Normal"/>
        <w:tabs>
          <w:tab w:val="clear" w:pos="708"/>
          <w:tab w:val="left" w:pos="1134" w:leader="none"/>
        </w:tabs>
        <w:spacing w:before="60" w:after="0"/>
        <w:ind w:hanging="567" w:left="1134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494145" cy="309880"/>
                <wp:effectExtent l="114300" t="0" r="114300" b="0"/>
                <wp:docPr id="1006" name="Rectangle : coins arrondis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Rectangle : coins arrondis 1"/>
                        <wps:cNvSpPr/>
                      </wps:nvSpPr>
                      <wps:spPr>
                        <a:xfrm>
                          <a:off x="0" y="0"/>
                          <a:ext cx="6494040" cy="309960"/>
                        </a:xfrm>
                        <a:prstGeom prst="roundRect">
                          <a:avLst/>
                        </a:prstGeom>
                        <a:gradFill rotWithShape="0">
                          <a:gsLst>
                            <a:gs pos="0">
                              <a:srgbClr val="284475"/>
                            </a:gs>
                            <a:gs pos="100000">
                              <a:srgbClr val="4472c4"/>
                            </a:gs>
                          </a:gsLst>
                          <a:lin ang="18900000"/>
                        </a:gradFill>
                        <a:ln w="12600">
                          <a:solidFill>
                            <a:srgbClr val="02466d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pPr>
                              <w:pStyle w:val="Contenudecadre"/>
                              <w:jc w:val="center"/>
                              <w:rPr>
                                <w:rFonts w:ascii="Open Sauce Sans Light" w:hAnsi="Open Sauce Sans Light" w:cs="Calibri"/>
                                <w:b/>
                                <w:color w:val="FFFFFF"/>
                              </w:rPr>
                            </w:pPr>
                            <w:r>
                              <w:rPr>
                                <w:rFonts w:cs="Calibri" w:ascii="Open Sauce Sans Light" w:hAnsi="Open Sauce Sans Light"/>
                                <w:b/>
                                <w:color w:val="FFFFFF"/>
                              </w:rPr>
                              <w:t>EXPÉRIENCES PROFESSIONNELLES</w:t>
                            </w:r>
                          </w:p>
                        </w:txbxContent>
                      </wps:txbx>
                      <wps:bodyPr anchor="t" anchorCtr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id="shape_0" ID="Rectangle : coins arrondis 1" fillcolor="#284475" stroked="t" o:allowincell="f" style="position:absolute;margin-left:0pt;margin-top:-24.45pt;width:511.3pt;height:24.35pt;mso-wrap-style:square;v-text-anchor:top-center;mso-position-vertical:top">
                <v:fill o:detectmouseclick="t" color2="#4472c4"/>
                <v:stroke color="#02466d" weight="12600" joinstyle="round" endcap="flat"/>
                <v:textbox>
                  <w:txbxContent>
                    <w:p>
                      <w:pPr>
                        <w:pStyle w:val="Contenudecadre"/>
                        <w:jc w:val="center"/>
                        <w:rPr>
                          <w:rFonts w:ascii="Open Sauce Sans Light" w:hAnsi="Open Sauce Sans Light" w:cs="Calibri"/>
                          <w:b/>
                          <w:color w:val="FFFFFF"/>
                        </w:rPr>
                      </w:pPr>
                      <w:r>
                        <w:rPr>
                          <w:rFonts w:cs="Calibri" w:ascii="Open Sauce Sans Light" w:hAnsi="Open Sauce Sans Light"/>
                          <w:b/>
                          <w:color w:val="FFFFFF"/>
                        </w:rPr>
                        <w:t>EXPÉRIENCES PROFESSIONNELLES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rPr/>
      </w:pPr>
      <w:r>
        <w:rPr/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ERAMET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10.2024 – 04.2025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Category Manager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 la catégorie engins miniers, maintenance et pneus, élaboration de la stratégie achat.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 : 80 M €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engins miniers, maintenance, pneus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et déploiement dans les filiales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Contract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Renégociation des contrats‑cadres de maintenance d’engins miniers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Chef de projet achats électrification flotte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des acheteurs en local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OFFICINE PANERAI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11.2022 – 09.2024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 an et 10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Acheteur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du portefeuille mouvements horlogers, analyse Make‑or‑Buy et appels d’offres.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mouvement complet, composants de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“Make‑or‑Buy” sur le portefeuille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Appels d’offres des pièces achetées et sous‑traitées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Création d’un panel de fournisseurs pour les composants des mouvements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Rapports stratégiques incluant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ALTEN POUR ALSTOM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10.2021 – 03.2022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manager achats indirects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des achats indirects (prestations intellectuelles, CAPEX, facility management) et élaboration de la stratégie.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 : 40 M CHF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prestations intellectuelles, CAPEX, facility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catégories indirectes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Élaboration de la stratégie achat indirect, CAPEX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d’une analyste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ALTEN POUR ARCELORMITTAL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05.2021 – 10.2021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acheteur CAPEX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des projets CAPEX travaux neufs et revampings sur 7 sites industriels.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 : 160 M €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travaux neufs et revampings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projets travaux neufs de 7 sites industriels (lots génie civil)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Résultat : 1 M € de savings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MASTERIS – GROUPE SNCF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12.2020 – 05.2021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6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acheteur ferroviaire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des achats ferroviaires (matériel roulant, projets de rénovation de métros).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 : 80 M €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matériel roulant de train, tramway, métro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rénovation des métros de Lille (compresseur, convertisseur, tachymètres)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chiffrages achat amont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pièces de rechange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ALTRAN POUR AIRBUS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05.2019 – 07.2020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 an et 2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Consultant acheteur aéronautique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des achats aéronautiques (cabin, rétrofits) et claim management.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 : 200 M €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cabine d’avion (sièges, équipements d’urgence, textiles, galleys, éclairages)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 projet achat logistique pour les rétrofits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Claim Management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des appels d’offres upgrades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Projet A220 : analyse des contrats, recherche de communalités In‑Service Issues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Management fonctionnel de deux assistants achats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SWISS INTERNATIONAL AIRLINES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01.2017 – 04.2019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2 ans et 3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Personnel Navigant Commercial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RENAULT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09.2015 – 09.2016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1 an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Acheteur automobile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des achats automobiles (conversion de véhicules utilitaires, projets sièges).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Masse achat : 100 M €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conversions de véhicule utilitaire léger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Achat projet : conversion d’un minibus haut de gamme et loisirs (habillages intérieurs)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Gestion d’appels d’offres sièges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Audit fournisseurs : qualité, innovation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Construction du panel fournisseurs et cartographie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Sujet contremarques : décomposition TCO et optimisation coûts logistique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“Make‑or‑Buy”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2" w:type="dxa"/>
          <w:bottom w:w="57" w:type="dxa"/>
          <w:right w:w="0" w:type="dxa"/>
        </w:tblCellMar>
        <w:tblLook w:val="04a0" w:noHBand="0" w:noVBand="1" w:firstColumn="1" w:lastRow="0" w:lastColumn="0" w:firstRow="1"/>
      </w:tblPr>
      <w:tblGrid>
        <w:gridCol w:w="4137"/>
        <w:gridCol w:w="3397"/>
        <w:gridCol w:w="2666"/>
      </w:tblGrid>
      <w:tr>
        <w:trPr>
          <w:trHeight w:val="225" w:hRule="atLeast"/>
        </w:trPr>
        <w:tc>
          <w:tcPr>
            <w:tcW w:w="413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olor w:val="002060"/>
                <w:sz w:val="22"/>
                <w:szCs w:val="22"/>
              </w:rPr>
              <w:t xml:space="preserve">WORLD AND MORE</w:t>
            </w:r>
          </w:p>
        </w:tc>
        <w:tc>
          <w:tcPr>
            <w:tcW w:w="3397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</w:tcBorders>
          </w:tcPr>
          <w:p>
            <w:pPr>
              <w:pStyle w:val="Contenudetableau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09.2013 – 04.2014</w:t>
            </w:r>
          </w:p>
        </w:tc>
        <w:tc>
          <w:tcPr>
            <w:tcW w:w="2666" w:type="dxa"/>
            <w:tcBorders>
              <w:top w:val="single" w:sz="2" w:space="0" w:color="FFFFFF"/>
              <w:left w:val="single" w:sz="2" w:space="0" w:color="FFFFFF"/>
              <w:bottom w:val="single" w:sz="2" w:space="0" w:color="000000"/>
              <w:right w:val="single" w:sz="2" w:space="0" w:color="FFFFFF"/>
            </w:tcBorders>
          </w:tcPr>
          <w:p>
            <w:pPr>
              <w:pStyle w:val="Contenudetableau"/>
              <w:jc w:val="center"/>
              <w:rPr>
                <w:rFonts w:ascii="Calibri" w:hAnsi="Calibri" w:cs="Calibri" w:asciiTheme="minorHAnsi" w:cstheme="minorHAnsi" w:hAnsiTheme="minorHAnsi"/>
                <w:sz w:val="22"/>
                <w:szCs w:val="22"/>
              </w:rPr>
            </w:pPr>
            <w:r>
              <w:rPr>
                <w:rFonts w:cs="Calibri" w:ascii="Calibri" w:hAnsi="Calibri" w:asciiTheme="minorHAnsi" w:cstheme="minorHAnsi" w:hAnsiTheme="minorHAnsi"/>
                <w:color w:val="002060"/>
                <w:sz w:val="22"/>
                <w:szCs w:val="22"/>
              </w:rPr>
              <w:t xml:space="preserve">7 mois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left"/>
        <w:tblInd w:w="0" w:type="dxa"/>
        <w:tblLayout w:type="fixed"/>
        <w:tblCellMar>
          <w:top w:w="0" w:type="dxa"/>
          <w:left w:w="5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10200"/>
      </w:tblGrid>
      <w:tr>
        <w:trPr>
          <w:trHeight w:val="388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spacing w:before="0" w:after="120"/>
              <w:rPr>
                <w:rFonts w:cs="Calibri" w:cstheme="minorHAnsi"/>
                <w:sz w:val="22"/>
                <w:szCs w:val="22"/>
              </w:rPr>
            </w:pP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Acheteur alimentaire</w:t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BodyText"/>
              <w:rPr>
                <w:rFonts w:ascii="Callibri" w:hAnsi="Callibri"/>
              </w:rPr>
            </w:pP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  <w:r>
              <w:rPr>
                <w:rFonts w:cs="Calibri" w:cstheme="minorHAnsi"/>
                <w:b/>
                <w:bCs/>
                <w:color w:val="002060"/>
                <w:sz w:val="22"/>
                <w:szCs w:val="22"/>
              </w:rPr>
              <w:t xml:space="preserve">Mission :</w:t>
            </w:r>
            <w:r>
              <w:rPr>
                <w:rFonts w:cs="Calibri" w:cstheme="minorHAnsi"/>
                <w:color w:val="002060"/>
                <w:sz w:val="22"/>
                <w:szCs w:val="22"/>
              </w:rPr>
              <w:t xml:space="preserve"> Gestion des achats alimentaires, sourcing et renégociation de contrats.</w:t>
            </w:r>
            <w:r>
              <w:rPr>
                <w:rFonts w:ascii="Callibri" w:hAnsi="Callibri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Périmètre : produits alimentaires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Définition du besoin en achat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Sourcing de produits alimentaires (Espagne, Turquie)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  <w:p>
            <w:pPr>
              <w:pStyle w:val="Contenudetableau"/>
              <w:numPr>
                <w:ilvl w:val="0"/>
                <w:numId w:val="3"/>
              </w:numPr>
              <w:rPr/>
            </w:pPr>
            <w:r>
              <w:rPr>
                <w:rFonts w:ascii="Callibri" w:hAnsi="Callibri"/>
                <w:color w:val="002060"/>
                <w:sz w:val="21"/>
                <w:szCs w:val="21"/>
              </w:rPr>
              <w:t xml:space="preserve">Analyse et renégociation des contrats‑cadres</w:t>
            </w:r>
            <w:r>
              <w:rPr>
                <w:rFonts w:ascii="Callibri" w:hAnsi="Callibri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269" w:hRule="atLeast"/>
        </w:trPr>
        <w:tc>
          <w:tcPr>
            <w:tcW w:w="1020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pStyle w:val="Contenudetableau"/>
              <w:rPr/>
            </w:pPr>
            <w:r>
              <w:rPr/>
              <w:t xml:space="preserve"/>
            </w:r>
          </w:p>
        </w:tc>
      </w:tr>
    </w:tbl>
    <w:p>
      <w:pPr>
        <w:pStyle w:val="Contenudetableau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Contenudetableau"/>
        <w:spacing w:before="0" w:after="120"/>
        <w:rPr/>
      </w:pPr>
      <w:r>
        <w:rPr>
          <w:rFonts w:cs="Calibri" w:ascii="Calibri" w:hAnsi="Calibri"/>
          <w:color w:val="000000"/>
          <w:sz w:val="21"/>
          <w:szCs w:val="21"/>
        </w:rPr>
        <w:t xml:space="preserve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09" w:right="748" w:gutter="0" w:header="283" w:top="851" w:footer="214" w:bottom="12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 Sauce Sans Light">
    <w:charset w:val="01"/>
    <w:family w:val="roman"/>
    <w:pitch w:val="variable"/>
  </w:font>
  <w:font w:name="Callibri">
    <w:charset w:val="01"/>
    <w:family w:val="roman"/>
    <w:pitch w:val="variable"/>
  </w:font>
  <w:font w:name="Clibri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5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176" coordsize="21600,21600" o:spt="176" path="m,3600qy@5@6l@0,qx@7@5l21600@1qy@8@9l3600,21600qx@6@8xe">
              <v:stroke joinstyle="miter"/>
              <v:formulas>
                <v:f eqn="sum width 0 3600"/>
                <v:f eqn="sum height 0 3600"/>
                <v:f eqn="prod 3600 2929 10000"/>
                <v:f eqn="sum width 0 @2"/>
                <v:f eqn="sum height 0 @2"/>
                <v:f eqn="sum 3600 0 0"/>
                <v:f eqn="sum 0 3600 3600"/>
                <v:f eqn="sum 3600 @0 0"/>
                <v:f eqn="sum 0 21600 3600"/>
                <v:f eqn="sum 3600 @1 0"/>
              </v:formulas>
              <v:path gradientshapeok="t" o:connecttype="rect" textboxrect="@2,@2,@3,@4"/>
            </v:shapetype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536"/>
        <w:tab w:val="clear" w:pos="9072"/>
        <w:tab w:val="left" w:pos="7905" w:leader="none"/>
      </w:tabs>
      <w:jc w:val="center"/>
      <w:rPr>
        <w:rFonts w:ascii="Open Sauce Sans Light" w:hAnsi="Open Sauce Sans Light" w:cs="Arial"/>
        <w:bCs/>
        <w:color w:val="002060"/>
        <w:sz w:val="18"/>
        <w:szCs w:val="18"/>
      </w:rPr>
    </w:pPr>
    <w:r>
      <w:rPr>
        <w:rFonts w:cs="Arial" w:ascii="Open Sauce Sans Light" w:hAnsi="Open Sauce Sans Light"/>
        <w:bCs/>
        <w:color w:val="002060"/>
        <w:sz w:val="18"/>
        <w:szCs w:val="18"/>
      </w:rPr>
      <w:t>NAVA ENGINEERING • 9-11 AVENUE MICHELET, 93400 SAINT-OUEN-SUR-SEINE</w:t>
    </w:r>
  </w:p>
  <w:p>
    <w:pPr>
      <w:pStyle w:val="Footer"/>
      <w:jc w:val="center"/>
      <w:rPr>
        <w:rFonts w:ascii="Open Sauce Sans Light" w:hAnsi="Open Sauce Sans Light" w:cs="Arial"/>
        <w:bCs/>
        <w:color w:val="002060"/>
        <w:sz w:val="16"/>
        <w:szCs w:val="16"/>
        <w:lang w:val="it-IT"/>
      </w:rPr>
    </w:pPr>
    <w:r>
      <w:rPr>
        <w:rFonts w:cs="Arial" w:ascii="Open Sauce Sans Light" w:hAnsi="Open Sauce Sans Light"/>
        <w:bCs/>
        <w:color w:val="002060"/>
        <w:sz w:val="16"/>
        <w:szCs w:val="16"/>
        <w:lang w:val="it-IT"/>
      </w:rPr>
      <w:t xml:space="preserve">Simon ZANA • 06 13 53 23 81 • </w:t>
    </w:r>
    <w:r>
      <mc:AlternateContent>
        <mc:Choice Requires="wps">
          <w:drawing>
            <wp:anchor behindDoc="1" distT="1270" distB="0" distL="1270" distR="0" simplePos="0" locked="0" layoutInCell="0" allowOverlap="1" relativeHeight="3">
              <wp:simplePos x="0" y="0"/>
              <wp:positionH relativeFrom="page">
                <wp:posOffset>3596640</wp:posOffset>
              </wp:positionH>
              <wp:positionV relativeFrom="page">
                <wp:posOffset>9914255</wp:posOffset>
              </wp:positionV>
              <wp:extent cx="363855" cy="320675"/>
              <wp:effectExtent l="635" t="635" r="0" b="0"/>
              <wp:wrapNone/>
              <wp:docPr id="16" name="Organigramme : Alternativ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3960" cy="320760"/>
                      </a:xfrm>
                      <a:prstGeom prst="flowChartAlternateProcess">
                        <a:avLst/>
                      </a:prstGeom>
                      <a:solidFill>
                        <a:srgbClr val="02466d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jc w:val="center"/>
                            <w:rPr>
                              <w:color w:val="FFFFFF"/>
                              <w:sz w:val="28"/>
                              <w:szCs w:val="28"/>
                            </w:rPr>
                          </w:pPr>
                          <w:hyperlink r:id="rId1">
                            <w:r>
                              <w:rPr>
                                <w:rStyle w:val="Hyperlink"/>
                                <w:color w:val="FFFFFF"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t>1</w:t>
                            </w:r>
                            <w:r>
                              <w:rPr>
                                <w:rStyle w:val="Hyperlink"/>
                                <w:sz w:val="28"/>
                                <w:szCs w:val="28"/>
                                <w:color w:val="FFFFFF"/>
                              </w:rPr>
                              <w:fldChar w:fldCharType="end"/>
                            </w:r>
                          </w:hyperlink>
                        </w:p>
                      </w:txbxContent>
                    </wps:txbx>
                    <wps:bodyPr anchor="b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_0" ID="Organigramme : Alternative 1" fillcolor="#02466d" stroked="f" o:allowincell="f" style="position:absolute;margin-left:283.2pt;margin-top:780.65pt;width:28.6pt;height:25.2pt;mso-wrap-style:square;v-text-anchor:bottom;mso-position-horizontal-relative:page;mso-position-vertical-relative:page" type="_x0000_t176">
              <v:fill o:detectmouseclick="t" type="solid" color2="#fdb992"/>
              <v:stroke color="#3465a4" joinstyle="round" endcap="flat"/>
              <v:textbox>
                <w:txbxContent>
                  <w:p>
                    <w:pPr>
                      <w:pStyle w:val="Contenudecadre"/>
                      <w:jc w:val="center"/>
                      <w:rPr>
                        <w:color w:val="FFFFFF"/>
                        <w:sz w:val="28"/>
                        <w:szCs w:val="28"/>
                      </w:rPr>
                    </w:pPr>
                    <w:hyperlink r:id="rId2">
                      <w:r>
                        <w:rPr>
                          <w:rStyle w:val="Hyperlink"/>
                          <w:color w:val="FFFFFF"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instrText xml:space="preserve"> PAGE </w:instrTex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separate"/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t>1</w:t>
                      </w:r>
                      <w:r>
                        <w:rPr>
                          <w:rStyle w:val="Hyperlink"/>
                          <w:sz w:val="28"/>
                          <w:szCs w:val="28"/>
                          <w:color w:val="FFFFFF"/>
                        </w:rPr>
                        <w:fldChar w:fldCharType="end"/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rStyle w:val="Hyperlink"/>
        <w:rFonts w:eastAsia="" w:cs="Arial" w:ascii="Open Sauce Sans Light" w:hAnsi="Open Sauce Sans Light" w:eastAsiaTheme="majorEastAsia"/>
        <w:bCs/>
        <w:color w:val="002060"/>
        <w:sz w:val="16"/>
        <w:szCs w:val="16"/>
        <w:lang w:val="it-IT"/>
      </w:rPr>
      <w:t>simon.zana@nava-eng.com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3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 xml:space="preserve">CPE</w:t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>
        <w:color w:val="002060"/>
        <w:sz w:val="34"/>
        <w:szCs w:val="34"/>
      </w:rPr>
    </w:pPr>
    <w:r>
      <w:drawing>
        <wp:anchor behindDoc="1" distT="0" distB="0" distL="0" distR="0" simplePos="0" locked="0" layoutInCell="0" allowOverlap="1" relativeHeight="2">
          <wp:simplePos x="0" y="0"/>
          <wp:positionH relativeFrom="column">
            <wp:posOffset>-417195</wp:posOffset>
          </wp:positionH>
          <wp:positionV relativeFrom="paragraph">
            <wp:posOffset>-157480</wp:posOffset>
          </wp:positionV>
          <wp:extent cx="1019810" cy="1032510"/>
          <wp:effectExtent l="0" t="0" r="0" b="0"/>
          <wp:wrapSquare wrapText="largest"/>
          <wp:docPr id="14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6716" t="6596" r="7558" b="6596"/>
                  <a:stretch>
                    <a:fillRect/>
                  </a:stretch>
                </pic:blipFill>
                <pic:spPr bwMode="auto">
                  <a:xfrm>
                    <a:off x="0" y="0"/>
                    <a:ext cx="1019810" cy="1032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cs="Calibri" w:ascii="Calibri" w:hAnsi="Calibri"/>
        <w:color w:val="002060"/>
        <w:sz w:val="34"/>
        <w:szCs w:val="32"/>
      </w:rPr>
      <w:t xml:space="preserve">CPE</w:t>
    </w:r>
  </w:p>
  <w:p>
    <w:pPr>
      <w:pStyle w:val="Normal"/>
      <w:jc w:val="right"/>
      <w:rPr>
        <w:rFonts w:ascii="Calibri" w:hAnsi="Calibri" w:cs="Calibri"/>
        <w:b/>
        <w:color w:val="002060"/>
        <w:sz w:val="40"/>
        <w:szCs w:val="40"/>
      </w:rPr>
    </w:pPr>
    <w:r>
      <w:rPr>
        <w:rFonts w:cs="Calibri" w:ascii="Calibri" w:hAnsi="Calibri"/>
        <w:b/>
        <w:color w:val="002060"/>
        <w:sz w:val="40"/>
        <w:szCs w:val="40"/>
      </w:rPr>
      <w:t xml:space="preserve">Category Manager</w:t>
    </w:r>
  </w:p>
  <w:p>
    <w:pPr>
      <w:pStyle w:val="Normal"/>
      <w:jc w:val="right"/>
      <w:rPr>
        <w:rFonts w:ascii="Calibri" w:hAnsi="Calibri" w:cs="Calibri"/>
        <w:color w:val="002060"/>
        <w:sz w:val="28"/>
      </w:rPr>
    </w:pPr>
    <w:r>
      <w:rPr>
        <w:rFonts w:cs="Calibri" w:ascii="Calibri" w:hAnsi="Calibri"/>
        <w:color w:val="002060"/>
        <w:sz w:val="28"/>
      </w:rPr>
      <w:t xml:space="preserve">9 ans d'expériences</w:t>
    </w:r>
  </w:p>
  <w:p>
    <w:pPr>
      <w:pStyle w:val="Normal"/>
      <w:jc w:val="right"/>
      <w:rPr>
        <w:color w:val="002060"/>
        <w:sz w:val="34"/>
        <w:szCs w:val="34"/>
      </w:rPr>
    </w:pPr>
    <w:r>
      <w:rPr>
        <w:color w:val="002060"/>
        <w:sz w:val="34"/>
        <w:szCs w:val="3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1068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sz w:val="22"/>
        <w:szCs w:val="22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sz w:val="22"/>
        <w:szCs w:val="22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sz w:val="22"/>
        <w:szCs w:val="22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sz w:val="22"/>
        <w:szCs w:val="22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sz w:val="22"/>
        <w:szCs w:val="22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  <w:lvl w:ilvl="1">
      <w:start w:val="1"/>
      <w:numFmt w:val="bullet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  <w:sz w:val="22"/>
        <w:szCs w:val="22"/>
      </w:rPr>
    </w:lvl>
    <w:lvl w:ilvl="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  <w:sz w:val="22"/>
        <w:szCs w:val="22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  <w:sz w:val="22"/>
        <w:szCs w:val="22"/>
      </w:rPr>
    </w:lvl>
    <w:lvl w:ilvl="4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2"/>
        <w:szCs w:val="22"/>
      </w:rPr>
    </w:lvl>
    <w:lvl w:ilvl="5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  <w:sz w:val="22"/>
        <w:szCs w:val="22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2"/>
        <w:szCs w:val="22"/>
      </w:rPr>
    </w:lvl>
    <w:lvl w:ilvl="7">
      <w:start w:val="1"/>
      <w:numFmt w:val="bullet"/>
      <w:lvlText w:val="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  <w:sz w:val="22"/>
        <w:szCs w:val="22"/>
      </w:rPr>
    </w:lvl>
    <w:lvl w:ilvl="8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hyphenationZone w:val="425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4571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fr-FR" w:val="fr-FR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cf4571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semiHidden/>
    <w:unhideWhenUsed/>
    <w:qFormat/>
    <w:rsid w:val="00cf4571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semiHidden/>
    <w:unhideWhenUsed/>
    <w:qFormat/>
    <w:rsid w:val="00cf4571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cf4571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cf4571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cf4571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cf4571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cf4571"/>
    <w:pPr>
      <w:keepNext w:val="true"/>
      <w:keepLines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cf4571"/>
    <w:pPr>
      <w:keepNext w:val="true"/>
      <w:keepLines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itre2Car" w:customStyle="1">
    <w:name w:val="Titre 2 Car"/>
    <w:basedOn w:val="DefaultParagraphFont"/>
    <w:uiPriority w:val="9"/>
    <w:semiHidden/>
    <w:qFormat/>
    <w:rsid w:val="00cf45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itre3Car" w:customStyle="1">
    <w:name w:val="Titre 3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accent1" w:themeShade="bf" w:val="2F5496"/>
    </w:rPr>
  </w:style>
  <w:style w:type="character" w:styleId="Titre5Car" w:customStyle="1">
    <w:name w:val="Titre 5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accent1" w:themeShade="bf" w:val="2F5496"/>
    </w:rPr>
  </w:style>
  <w:style w:type="character" w:styleId="Titre6Car" w:customStyle="1">
    <w:name w:val="Titre 6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cf4571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cf4571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cf4571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cf4571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cf4571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4571"/>
    <w:rPr>
      <w:i/>
      <w:iCs/>
      <w:color w:themeColor="accent1" w:themeShade="bf" w:val="2F5496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cf4571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cf4571"/>
    <w:rPr>
      <w:b/>
      <w:bCs/>
      <w:smallCaps/>
      <w:color w:themeColor="accent1" w:themeShade="bf" w:val="2F5496"/>
      <w:spacing w:val="5"/>
    </w:rPr>
  </w:style>
  <w:style w:type="character" w:styleId="PieddepageCar" w:customStyle="1">
    <w:name w:val="Pied de pag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yperlink">
    <w:name w:val="Hyperlink"/>
    <w:uiPriority w:val="99"/>
    <w:rsid w:val="00cf4571"/>
    <w:rPr>
      <w:color w:val="0000FF"/>
      <w:u w:val="single"/>
    </w:rPr>
  </w:style>
  <w:style w:type="character" w:styleId="CorpsdetexteCar" w:customStyle="1">
    <w:name w:val="Corps de texte Car"/>
    <w:qFormat/>
    <w:rsid w:val="00cf4571"/>
    <w:rPr>
      <w:sz w:val="24"/>
      <w:szCs w:val="24"/>
    </w:rPr>
  </w:style>
  <w:style w:type="character" w:styleId="CorpsdetexteCar1" w:customStyle="1">
    <w:name w:val="Corps de texte Car1"/>
    <w:basedOn w:val="DefaultParagraphFont"/>
    <w:uiPriority w:val="99"/>
    <w:semiHidden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En-tteCar" w:customStyle="1">
    <w:name w:val="En-tête Car"/>
    <w:basedOn w:val="DefaultParagraphFont"/>
    <w:uiPriority w:val="99"/>
    <w:qFormat/>
    <w:rsid w:val="00cf4571"/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Puces" w:customStyle="1">
    <w:name w:val="Puces"/>
    <w:qFormat/>
    <w:rPr>
      <w:rFonts w:ascii="Calibri" w:hAnsi="Calibri" w:eastAsia="OpenSymbol" w:cs="OpenSymbol"/>
      <w:sz w:val="22"/>
      <w:szCs w:val="22"/>
    </w:rPr>
  </w:style>
  <w:style w:type="character" w:styleId="Caractresdenumrotation" w:customStyle="1">
    <w:name w:val="Caractères de numérotation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sdetexteCar"/>
    <w:rsid w:val="00cf4571"/>
    <w:pPr>
      <w:overflowPunct w:val="true"/>
      <w:spacing w:before="0" w:after="120"/>
    </w:pPr>
    <w:rPr>
      <w:rFonts w:ascii="Calibri" w:hAnsi="Calibri" w:eastAsia="Calibri" w:cs="" w:asciiTheme="minorHAnsi" w:cstheme="minorBidi" w:eastAsiaTheme="minorHAnsi" w:hAnsiTheme="minorHAnsi"/>
      <w:lang w:eastAsia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BodyText"/>
    <w:link w:val="TitreCar"/>
    <w:uiPriority w:val="10"/>
    <w:qFormat/>
    <w:rsid w:val="00cf4571"/>
    <w:pPr>
      <w:spacing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cf4571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cf4571"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4571"/>
    <w:pPr>
      <w:spacing w:before="0" w:after="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cf45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En-tteetpieddepage" w:customStyle="1">
    <w:name w:val="En-tête et pied de page"/>
    <w:basedOn w:val="Normal"/>
    <w:qFormat/>
    <w:pPr/>
    <w:rPr/>
  </w:style>
  <w:style w:type="paragraph" w:styleId="Footer">
    <w:name w:val="Footer"/>
    <w:basedOn w:val="Normal"/>
    <w:link w:val="PieddepageCar"/>
    <w:uiPriority w:val="99"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ontenudecadre" w:customStyle="1">
    <w:name w:val="Contenu de cadre"/>
    <w:basedOn w:val="Normal"/>
    <w:qFormat/>
    <w:rsid w:val="00cf4571"/>
    <w:pPr>
      <w:overflowPunct w:val="true"/>
    </w:pPr>
    <w:rPr/>
  </w:style>
  <w:style w:type="paragraph" w:styleId="Header">
    <w:name w:val="Header"/>
    <w:basedOn w:val="Normal"/>
    <w:link w:val="En-tteCar"/>
    <w:uiPriority w:val="99"/>
    <w:unhideWhenUsed/>
    <w:rsid w:val="00cf4571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Texteprformat" w:customStyle="1">
    <w:name w:val="Texte préformaté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Contenudetableau" w:customStyle="1">
    <w:name w:val="Contenu de tableau"/>
    <w:basedOn w:val="Normal"/>
    <w:qFormat/>
    <w:pPr>
      <w:widowControl w:val="false"/>
      <w:suppressLineNumbers/>
    </w:pPr>
    <w:rPr/>
  </w:style>
  <w:style w:type="paragraph" w:styleId="Titredetableau" w:customStyle="1">
    <w:name w:val="Titre de tableau"/>
    <w:basedOn w:val="Contenudetableau"/>
    <w:qFormat/>
    <w:pPr>
      <w:jc w:val="center"/>
    </w:pPr>
    <w:rPr>
      <w:b/>
      <w:bCs/>
    </w:rPr>
  </w:style>
  <w:style w:type="numbering" w:styleId="Pasdeliste" w:customStyle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hyperlink" Target="mailto:simon.zana@digital4b.com" TargetMode="External"/><Relationship Id="rId2" Type="http://schemas.openxmlformats.org/officeDocument/2006/relationships/hyperlink" Target="mailto:simon.zana@digital4b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1</Pages>
  <Words>195</Words>
  <Characters>1052</Characters>
  <CharactersWithSpaces>1201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2026-01-28T07:43:00Z</dcterms:created>
  <dc:creator>Lucas Buixuanhy</dc:creator>
  <dc:description/>
  <dc:language>fr-FR</dc:language>
  <cp:lastModifiedBy/>
  <dcterms:modified xsi:type="dcterms:W3CDTF">2026-01-28T15:59:55Z</dcterms:modified>
  <cp:revision>4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