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9"/>
        <w:rPr>
          <w:sz w:val="21"/>
          <w:szCs w:val="21"/>
        </w:rPr>
      </w:pPr>
      <w:r>
        <w:rPr/>
      </w:r>
    </w:p>
    <w:p>
      <w:pPr>
        <w:pStyle w:val="Normal"/>
        <w:spacing w:before="0" w:after="19"/>
        <w:rPr/>
      </w:pPr>
      <w:r>
        <w:rPr/>
        <mc:AlternateContent>
          <mc:Choice Requires="wps">
            <w:drawing>
              <wp:inline distT="0" distB="0" distL="0" distR="0">
                <wp:extent cx="6494145" cy="309880"/>
                <wp:effectExtent l="114300" t="0" r="114300" b="12065"/>
                <wp:docPr id="1001" name="Rectangle : coins arrondis 11"/>
                <a:graphic xmlns:a="http://schemas.openxmlformats.org/drawingml/2006/main">
                  <a:graphicData uri="http://schemas.microsoft.com/office/word/2010/wordprocessingShape">
                    <wps:wsp>
                      <wps:cNvSpPr/>
                      <wps:nvSpPr>
                        <wps:cNvPr id="2" name="Rectangle : coins arrondis 11"/>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DOMAINES DE COMPÉTENCES</w:t>
                            </w:r>
                          </w:p>
                        </w:txbxContent>
                      </wps:txbx>
                      <wps:bodyPr anchor="t" anchorCtr="1">
                        <a:noAutofit/>
                      </wps:bodyPr>
                    </wps:wsp>
                  </a:graphicData>
                </a:graphic>
              </wp:inline>
            </w:drawing>
          </mc:Choice>
          <mc:Fallback>
            <w:pict>
              <v:roundrect id="shape_0" ID="Rectangle : coins arrondis 11" fillcolor="#284475" stroked="t" o:allowincell="f" style="position:absolute;margin-left:0pt;margin-top:-25.4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DOMAINES DE COMPÉTENCES</w:t>
                      </w:r>
                    </w:p>
                  </w:txbxContent>
                </v:textbox>
                <w10:wrap type="none"/>
              </v:roundrect>
            </w:pict>
          </mc:Fallback>
        </mc:AlternateContent>
      </w:r>
    </w:p>
    <w:p>
      <w:pPr>
        <w:pStyle w:val="Normal"/>
        <w:rPr>
          <w:sz w:val="16"/>
          <w:szCs w:val="16"/>
        </w:rPr>
      </w:pPr>
      <w:r>
        <w:rPr>
          <w:rFonts w:cs="Calibri" w:ascii="Calibri" w:hAnsi="Calibri"/>
          <w:sz w:val="16"/>
          <w:szCs w:val="16"/>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Conception, implémentation et automatisation d’architectures Java EE (WebSphere, JBoss, Tomcat) ainsi que la gestion du parc d’applications en production (déploiement, mise à jour, MCO) avec expertise middleware.</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Développement d’outils d’infrastructure as code et de pipelines CI/CD (Ansible, Terraform, Jenkins, GitLab) pour le provisioning, le patching et la configuration automatisée des environnements cloud et on‑premise.</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Gestion sécurisée des secrets et des accès privilégiés à l’aide de CyberArk, HashiCorp Vault et Ansible Vault, garantissant la conformité et la traçabilité.</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Mise en place de solutions de monitoring, d’observabilité et de performance (Dynatrace, ELK, Splunk, AppDynamics, ITCAM) pour assurer la disponibilité et l’optimisation des services.</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Administration et optimisation d’infrastructures systèmes (Linux Red Hat, AIX, Windows Server, Solaris) ainsi que de plateformes de virtualisation et de conteneurisation (Docker, Kubernetes, VMWare, AWS).</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Conception, administration et optimisation de bases de données relationnelles (Oracle, DB2, MySQL, PostgreSQL) et intégration d’outils ETL (Informatica, Oracle PeopleSoft).</w:t>
      </w:r>
    </w:p>
    <w:p>
      <w:pPr>
        <w:pStyle w:val="Normal"/>
        <w:rPr>
          <w:sz w:val="20"/>
          <w:szCs w:val="20"/>
        </w:rPr>
      </w:pPr>
      <w:r>
        <w:rPr>
          <w:sz w:val="20"/>
          <w:szCs w:val="20"/>
        </w:rPr>
        <w:t xml:space="preserve"/>
      </w:r>
    </w:p>
    <w:p>
      <w:pPr>
        <w:pStyle w:val="Normal"/>
        <w:numPr>
          <w:ilvl w:val="0"/>
          <w:numId w:val="1"/>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Pilotage de projets IT selon les meilleures pratiques (ITIL, COBIT, Scrum, PRINCE2, PMBOK) avec support de niveau 3, gestion d’incidents et coordination d’équipes multidisciplinaires.</w:t>
      </w:r>
    </w:p>
    <w:p>
      <w:pPr>
        <w:pStyle w:val="Normal"/>
        <w:rPr>
          <w:sz w:val="20"/>
          <w:szCs w:val="20"/>
        </w:rPr>
      </w:pPr>
      <w:r>
        <w:rPr>
          <w:sz w:val="20"/>
          <w:szCs w:val="20"/>
        </w:rPr>
        <w:t xml:space="preserve"/>
      </w:r>
    </w:p>
    <w:p>
      <w:pPr>
        <w:pStyle w:val="Normal"/>
        <w:rPr/>
      </w:pPr>
      <w:r>
        <w:rPr/>
        <mc:AlternateContent>
          <mc:Choice Requires="wps">
            <w:drawing>
              <wp:inline distT="0" distB="0" distL="0" distR="0">
                <wp:extent cx="6494145" cy="309880"/>
                <wp:effectExtent l="114300" t="0" r="114300" b="0"/>
                <wp:docPr id="1002" name="Rectangle : coins arrondis 9"/>
                <a:graphic xmlns:a="http://schemas.openxmlformats.org/drawingml/2006/main">
                  <a:graphicData uri="http://schemas.microsoft.com/office/word/2010/wordprocessingShape">
                    <wps:wsp>
                      <wps:cNvSpPr/>
                      <wps:nvSpPr>
                        <wps:cNvPr id="4" name="Rectangle : coins arrondis 9"/>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OUTILS</w:t>
                            </w:r>
                          </w:p>
                        </w:txbxContent>
                      </wps:txbx>
                      <wps:bodyPr anchor="t" anchorCtr="1">
                        <a:noAutofit/>
                      </wps:bodyPr>
                    </wps:wsp>
                  </a:graphicData>
                </a:graphic>
              </wp:inline>
            </w:drawing>
          </mc:Choice>
          <mc:Fallback>
            <w:pict>
              <v:roundrect id="shape_0" ID="Rectangle : coins arrondis 9" fillcolor="#284475" stroked="t" o:allowincell="f" style="position:absolute;margin-left:0pt;margin-top:-24.45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OUTILS</w:t>
                      </w:r>
                    </w:p>
                  </w:txbxContent>
                </v:textbox>
                <w10:wrap type="none"/>
              </v:roundrect>
            </w:pict>
          </mc:Fallback>
        </mc:AlternateConten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Gestion de version et dépôts: Git, GitLab, GitHub, Azure DevOps Server, CVS (SVN)</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CI/CD, Orchestration et Automation: Jenkins, Red Hat Ansible Automation Platform, Ansible, Ansible Tower, Terraform, Rundeck, HashiCorp Consul, Docker, Docker Compose, Kubernetes, AWS, Nexus, JFrog Artifactory</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Gestion des secrets et accès privilégiés: CyberArk Enterprise Password Vault, CyberArk Privileged Access Manager, Ansible Vault, HashiCorp Vault</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Middleware et Serveurs d’applications: WebSphere Application Server (AS 5‑9), WebSphere Liberty, JBoss EAP 7, WildFly, Apache Tomcat, WebLogic Application Server, WebLogic Integration, IBM WebSphere DataPower XI50, IBM WebSphere Business Integration, IBM WebSphere InterChange Server, IBM WebSphere Host Access Transformation Service, IBM WebSphere Process Server, IBM WebSphere Portal, IBM WebSphere ESB, WSO2 ESB, IBM FileNet P8, Jahia, Joomla, WordPress, Grav</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Systèmes d’exploitation et Virtualisation: Linux Red Hat (7,8,9), AIX, Windows Server, Solaris, Fedora, Debian, Mandrake, VMWare, vCenter</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Bases de données: Oracle, DB2, MySQL, MariaDB, PostgreSQL</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Monitoring et Observabilité: Dynatrace, ELK, Splunk, AppDynamics, CA APM Introscope, ITCAM</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Outils de gestion de projet et Collaboration: Jira, Trello, Mantis, Mattermost, ServiceNow, Microsoft Project, Visio</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Réseaux et Sécurité: IBM Tivoli Directory Server, Microsoft Active Directory, SSSD, CFT, XFBGateway, Tuxedo, CICS, MQSeries, Infoblox, F5 LTM, Alteon</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Intégration et ETL: Informatica, Oracle PeopleSoft</w:t>
      </w:r>
    </w:p>
    <w:p>
      <w:pPr>
        <w:pStyle w:val="Normal"/>
        <w:rPr>
          <w:sz w:val="16"/>
          <w:szCs w:val="16"/>
        </w:rPr>
      </w:pPr>
      <w:r>
        <w:rPr>
          <w:rFonts w:ascii="Calibri" w:hAnsi="Calibri"/>
          <w:sz w:val="16"/>
          <w:szCs w:val="16"/>
        </w:rPr>
        <w:t xml:space="preserve"/>
      </w:r>
    </w:p>
    <w:p>
      <w:pPr>
        <w:pStyle w:val="Normal"/>
        <w:numPr>
          <w:ilvl w:val="0"/>
          <w:numId w:val="2"/>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Langages de programmation et Outils de développement: Shell (bash, ksh), PowerShell, C, Java, Jython, Python, YAML, venv, pip, Java TCL, JMeter, Eclipse, WSAD, WID, Visual Studio Code, OpenSSL, PGP, GPG, Swagger, Postman, JSON, XML, APIGEE, SOAPUI</w:t>
      </w:r>
    </w:p>
    <w:p>
      <w:pPr>
        <w:pStyle w:val="Normal"/>
        <w:rPr>
          <w:sz w:val="16"/>
          <w:szCs w:val="16"/>
        </w:rPr>
      </w:pPr>
      <w:r>
        <w:rPr>
          <w:rFonts w:ascii="Calibri" w:hAnsi="Calibri"/>
          <w:sz w:val="16"/>
          <w:szCs w:val="16"/>
        </w:rPr>
        <w:t xml:space="preserve"/>
      </w:r>
    </w:p>
    <w:p>
      <w:pPr>
        <w:pStyle w:val="Normal"/>
        <w:spacing w:before="0" w:after="19"/>
        <w:rPr/>
      </w:pPr>
      <w:r>
        <w:rPr/>
        <mc:AlternateContent>
          <mc:Choice Requires="wps">
            <w:drawing>
              <wp:inline distT="0" distB="0" distL="0" distR="0">
                <wp:extent cx="6494145" cy="309880"/>
                <wp:effectExtent l="114300" t="0" r="114300" b="12065"/>
                <wp:docPr id="1003" name="Rectangle : coins arrondis 7"/>
                <a:graphic xmlns:a="http://schemas.openxmlformats.org/drawingml/2006/main">
                  <a:graphicData uri="http://schemas.microsoft.com/office/word/2010/wordprocessingShape">
                    <wps:wsp>
                      <wps:cNvSpPr/>
                      <wps:nvSpPr>
                        <wps:cNvPr id="6" name="Rectangle : coins arrondis 7"/>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SECTEURS D’ACTIVITÉ</w:t>
                            </w:r>
                          </w:p>
                        </w:txbxContent>
                      </wps:txbx>
                      <wps:bodyPr anchor="t" anchorCtr="1">
                        <a:noAutofit/>
                      </wps:bodyPr>
                    </wps:wsp>
                  </a:graphicData>
                </a:graphic>
              </wp:inline>
            </w:drawing>
          </mc:Choice>
          <mc:Fallback>
            <w:pict>
              <v:roundrect id="shape_0" ID="Rectangle : coins arrondis 7" fillcolor="#284475" stroked="t" o:allowincell="f" style="position:absolute;margin-left:0pt;margin-top:-25.4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SECTEURS D’ACTIVITÉ</w:t>
                      </w:r>
                    </w:p>
                  </w:txbxContent>
                </v:textbox>
                <w10:wrap type="none"/>
              </v:roundrect>
            </w:pict>
          </mc:Fallback>
        </mc:AlternateContent>
      </w:r>
    </w:p>
    <w:p>
      <w:pPr>
        <w:pStyle w:val="Normal"/>
        <w:spacing w:before="0" w:after="19"/>
        <w:rPr>
          <w:sz w:val="16"/>
          <w:szCs w:val="16"/>
        </w:rPr>
      </w:pPr>
      <w:r>
        <w:rPr>
          <w:rFonts w:ascii="Calibri" w:hAnsi="Calibri"/>
          <w:sz w:val="16"/>
          <w:szCs w:val="16"/>
        </w:rPr>
        <w:t xml:space="preserve"/>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Banque</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Finance</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Assurance</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Télécommunications</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Énergie</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Informatique</w:t>
      </w:r>
    </w:p>
    <w:p>
      <w:pPr>
        <w:pStyle w:val="Normal"/>
        <w:numPr>
          <w:ilvl w:val="0"/>
          <w:numId w:val="4"/>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Industrie</w:t>
      </w:r>
    </w:p>
    <w:p>
      <w:pPr>
        <w:pStyle w:val="Normal"/>
        <w:tabs>
          <w:tab w:val="clear" w:pos="708"/>
          <w:tab w:val="left" w:pos="1134" w:leader="none"/>
        </w:tabs>
        <w:spacing w:before="60" w:after="0"/>
        <w:ind w:left="1134"/>
        <w:rPr>
          <w:rFonts w:ascii="Calibri" w:hAnsi="Calibri" w:cs="Calibri"/>
          <w:color w:val="000000"/>
        </w:rPr>
      </w:pPr>
      <w:r>
        <w:rPr>
          <w:rFonts w:cs="Calibri" w:ascii="Calibri" w:hAnsi="Calibri"/>
          <w:color w:val="000000"/>
        </w:rPr>
      </w:r>
    </w:p>
    <w:p>
      <w:pPr>
        <w:pStyle w:val="Normal"/>
        <w:rPr/>
      </w:pPr>
      <w:r>
        <w:rPr/>
        <mc:AlternateContent>
          <mc:Choice Requires="wps">
            <w:drawing>
              <wp:inline distT="0" distB="0" distL="0" distR="0">
                <wp:extent cx="6494145" cy="309880"/>
                <wp:effectExtent l="114300" t="0" r="114300" b="0"/>
                <wp:docPr id="1004" name="Rectangle : coins arrondis 5"/>
                <a:graphic xmlns:a="http://schemas.openxmlformats.org/drawingml/2006/main">
                  <a:graphicData uri="http://schemas.microsoft.com/office/word/2010/wordprocessingShape">
                    <wps:wsp>
                      <wps:cNvSpPr/>
                      <wps:nvSpPr>
                        <wps:cNvPr id="8" name="Rectangle : coins arrondis 5"/>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DIPLÔMES / FORMATION</w:t>
                            </w:r>
                          </w:p>
                        </w:txbxContent>
                      </wps:txbx>
                      <wps:bodyPr anchor="t" anchorCtr="1">
                        <a:noAutofit/>
                      </wps:bodyPr>
                    </wps:wsp>
                  </a:graphicData>
                </a:graphic>
              </wp:inline>
            </w:drawing>
          </mc:Choice>
          <mc:Fallback>
            <w:pict>
              <v:roundrect id="shape_0" ID="Rectangle : coins arrondis 5" fillcolor="#284475" stroked="t" o:allowincell="f" style="position:absolute;margin-left:0pt;margin-top:-24.45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DIPLÔMES / FORMATION</w:t>
                      </w:r>
                    </w:p>
                  </w:txbxContent>
                </v:textbox>
                <w10:wrap type="none"/>
              </v:roundrect>
            </w:pict>
          </mc:Fallback>
        </mc:AlternateContent>
      </w:r>
    </w:p>
    <w:p>
      <w:pPr>
        <w:pStyle w:val="Normal"/>
        <w:rPr>
          <w:sz w:val="21"/>
          <w:szCs w:val="21"/>
        </w:rPr>
      </w:pPr>
      <w:r>
        <w:rPr>
          <w:rFonts w:ascii="Calibri" w:hAnsi="Calibri"/>
          <w:sz w:val="21"/>
          <w:szCs w:val="21"/>
        </w:rPr>
        <w:t xml:space="preserve"/>
      </w:r>
    </w:p>
    <w:tbl>
      <w:tblPr>
        <w:tblW w:w="1021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7481"/>
        <w:gridCol w:w="2736"/>
      </w:tblGrid>
      <w:tr>
        <w:trPr>
          <w:trHeight w:val="300" w:hRule="atLeast"/>
        </w:trPr>
        <w:tc>
          <w:tcPr>
            <w:tcW w:w="7481" w:type="dxa"/>
            <w:tcBorders>
              <w:top w:val="single" w:sz="4" w:space="0" w:color="FFFFFF"/>
              <w:left w:val="single" w:sz="4" w:space="0" w:color="FFFFFF"/>
              <w:bottom w:val="single" w:sz="4" w:space="0" w:color="FFFFFF"/>
              <w:right w:val="single" w:sz="4" w:space="0" w:color="FFFFFF"/>
            </w:tcBorders>
          </w:tcPr>
          <w:p>
            <w:pPr>
              <w:pStyle w:val="Normal"/>
              <w:numPr>
                <w:ilvl w:val="1"/>
                <w:numId w:val="5"/>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Certification IBM System Administrator – WebSphere Application Server Network Deployment V7.0</w:t>
              <w:br/>
              <w:t xml:space="preserve">IBM</w:t>
            </w:r>
          </w:p>
        </w:tc>
        <w:tc>
          <w:tcPr>
            <w:tcW w:w="2736" w:type="dxa"/>
            <w:tcBorders>
              <w:top w:val="single" w:sz="4" w:space="0" w:color="FFFFFF"/>
              <w:left w:val="single" w:sz="4" w:space="0" w:color="FFFFFF"/>
              <w:bottom w:val="single" w:sz="4" w:space="0" w:color="FFFFFF"/>
              <w:right w:val="single" w:sz="4" w:space="0" w:color="FFFFFF"/>
            </w:tcBorders>
          </w:tcPr>
          <w:p>
            <w:pPr>
              <w:pStyle w:val="Contenudetableau"/>
              <w:widowControl/>
              <w:jc w:val="center"/>
              <w:rPr/>
            </w:pPr>
            <w:r>
              <w:rPr>
                <w:rFonts w:eastAsia="Calibri" w:ascii="Calibri" w:hAnsi="Calibri"/>
                <w:color w:val="002060"/>
                <w:sz w:val="22"/>
                <w:szCs w:val="22"/>
                <w:lang w:eastAsia="en-US"/>
              </w:rPr>
              <w:t xml:space="preserve">2013</w:t>
            </w:r>
          </w:p>
        </w:tc>
      </w:tr>
    </w:tbl>
    <w:p>
      <w:pPr>
        <w:pStyle w:val="Normal"/>
        <w:rPr>
          <w:sz w:val="21"/>
          <w:szCs w:val="21"/>
        </w:rPr>
      </w:pPr>
      <w:r>
        <w:rPr>
          <w:rFonts w:ascii="Calibri" w:hAnsi="Calibri"/>
          <w:sz w:val="21"/>
          <w:szCs w:val="21"/>
        </w:rPr>
        <w:t xml:space="preserve"/>
      </w:r>
    </w:p>
    <w:tbl>
      <w:tblPr>
        <w:tblW w:w="1021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7481"/>
        <w:gridCol w:w="2736"/>
      </w:tblGrid>
      <w:tr>
        <w:trPr>
          <w:trHeight w:val="300" w:hRule="atLeast"/>
        </w:trPr>
        <w:tc>
          <w:tcPr>
            <w:tcW w:w="7481" w:type="dxa"/>
            <w:tcBorders>
              <w:top w:val="single" w:sz="4" w:space="0" w:color="FFFFFF"/>
              <w:left w:val="single" w:sz="4" w:space="0" w:color="FFFFFF"/>
              <w:bottom w:val="single" w:sz="4" w:space="0" w:color="FFFFFF"/>
              <w:right w:val="single" w:sz="4" w:space="0" w:color="FFFFFF"/>
            </w:tcBorders>
          </w:tcPr>
          <w:p>
            <w:pPr>
              <w:pStyle w:val="Normal"/>
              <w:numPr>
                <w:ilvl w:val="1"/>
                <w:numId w:val="5"/>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Certification IBM WebSphere MQ Technical Sales Professional v2</w:t>
              <w:br/>
              <w:t xml:space="preserve">IBM</w:t>
            </w:r>
          </w:p>
        </w:tc>
        <w:tc>
          <w:tcPr>
            <w:tcW w:w="2736" w:type="dxa"/>
            <w:tcBorders>
              <w:top w:val="single" w:sz="4" w:space="0" w:color="FFFFFF"/>
              <w:left w:val="single" w:sz="4" w:space="0" w:color="FFFFFF"/>
              <w:bottom w:val="single" w:sz="4" w:space="0" w:color="FFFFFF"/>
              <w:right w:val="single" w:sz="4" w:space="0" w:color="FFFFFF"/>
            </w:tcBorders>
          </w:tcPr>
          <w:p>
            <w:pPr>
              <w:pStyle w:val="Contenudetableau"/>
              <w:widowControl/>
              <w:jc w:val="center"/>
              <w:rPr/>
            </w:pPr>
            <w:r>
              <w:rPr>
                <w:rFonts w:eastAsia="Calibri" w:ascii="Calibri" w:hAnsi="Calibri"/>
                <w:color w:val="002060"/>
                <w:sz w:val="22"/>
                <w:szCs w:val="22"/>
                <w:lang w:eastAsia="en-US"/>
              </w:rPr>
              <w:t xml:space="preserve">2013</w:t>
            </w:r>
          </w:p>
        </w:tc>
      </w:tr>
    </w:tbl>
    <w:p>
      <w:pPr>
        <w:pStyle w:val="Normal"/>
        <w:rPr>
          <w:sz w:val="21"/>
          <w:szCs w:val="21"/>
        </w:rPr>
      </w:pPr>
      <w:r>
        <w:rPr>
          <w:rFonts w:ascii="Calibri" w:hAnsi="Calibri"/>
          <w:sz w:val="21"/>
          <w:szCs w:val="21"/>
        </w:rPr>
        <w:t xml:space="preserve"/>
      </w:r>
    </w:p>
    <w:tbl>
      <w:tblPr>
        <w:tblW w:w="1021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7481"/>
        <w:gridCol w:w="2736"/>
      </w:tblGrid>
      <w:tr>
        <w:trPr>
          <w:trHeight w:val="300" w:hRule="atLeast"/>
        </w:trPr>
        <w:tc>
          <w:tcPr>
            <w:tcW w:w="7481" w:type="dxa"/>
            <w:tcBorders>
              <w:top w:val="single" w:sz="4" w:space="0" w:color="FFFFFF"/>
              <w:left w:val="single" w:sz="4" w:space="0" w:color="FFFFFF"/>
              <w:bottom w:val="single" w:sz="4" w:space="0" w:color="FFFFFF"/>
              <w:right w:val="single" w:sz="4" w:space="0" w:color="FFFFFF"/>
            </w:tcBorders>
          </w:tcPr>
          <w:p>
            <w:pPr>
              <w:pStyle w:val="Normal"/>
              <w:numPr>
                <w:ilvl w:val="1"/>
                <w:numId w:val="5"/>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Titre d’Ingénieur</w:t>
              <w:br/>
              <w:t xml:space="preserve">CNAM</w:t>
            </w:r>
          </w:p>
        </w:tc>
        <w:tc>
          <w:tcPr>
            <w:tcW w:w="2736" w:type="dxa"/>
            <w:tcBorders>
              <w:top w:val="single" w:sz="4" w:space="0" w:color="FFFFFF"/>
              <w:left w:val="single" w:sz="4" w:space="0" w:color="FFFFFF"/>
              <w:bottom w:val="single" w:sz="4" w:space="0" w:color="FFFFFF"/>
              <w:right w:val="single" w:sz="4" w:space="0" w:color="FFFFFF"/>
            </w:tcBorders>
          </w:tcPr>
          <w:p>
            <w:pPr>
              <w:pStyle w:val="Contenudetableau"/>
              <w:widowControl/>
              <w:jc w:val="center"/>
              <w:rPr/>
            </w:pPr>
            <w:r>
              <w:rPr>
                <w:rFonts w:eastAsia="Calibri" w:ascii="Calibri" w:hAnsi="Calibri"/>
                <w:color w:val="002060"/>
                <w:sz w:val="22"/>
                <w:szCs w:val="22"/>
                <w:lang w:eastAsia="en-US"/>
              </w:rPr>
              <w:t xml:space="preserve">2010</w:t>
            </w:r>
          </w:p>
        </w:tc>
      </w:tr>
    </w:tbl>
    <w:p>
      <w:pPr>
        <w:pStyle w:val="Normal"/>
        <w:rPr>
          <w:sz w:val="21"/>
          <w:szCs w:val="21"/>
        </w:rPr>
      </w:pPr>
      <w:r>
        <w:rPr>
          <w:rFonts w:ascii="Calibri" w:hAnsi="Calibri"/>
          <w:sz w:val="21"/>
          <w:szCs w:val="21"/>
        </w:rPr>
        <w:t xml:space="preserve"/>
      </w:r>
    </w:p>
    <w:tbl>
      <w:tblPr>
        <w:tblW w:w="1021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7481"/>
        <w:gridCol w:w="2736"/>
      </w:tblGrid>
      <w:tr>
        <w:trPr>
          <w:trHeight w:val="300" w:hRule="atLeast"/>
        </w:trPr>
        <w:tc>
          <w:tcPr>
            <w:tcW w:w="7481" w:type="dxa"/>
            <w:tcBorders>
              <w:top w:val="single" w:sz="4" w:space="0" w:color="FFFFFF"/>
              <w:left w:val="single" w:sz="4" w:space="0" w:color="FFFFFF"/>
              <w:bottom w:val="single" w:sz="4" w:space="0" w:color="FFFFFF"/>
              <w:right w:val="single" w:sz="4" w:space="0" w:color="FFFFFF"/>
            </w:tcBorders>
          </w:tcPr>
          <w:p>
            <w:pPr>
              <w:pStyle w:val="Normal"/>
              <w:numPr>
                <w:ilvl w:val="1"/>
                <w:numId w:val="5"/>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WebSphere Process Server Version 6 – Installation et Administration</w:t>
              <w:br/>
              <w:t xml:space="preserve">IBM</w:t>
            </w:r>
          </w:p>
        </w:tc>
        <w:tc>
          <w:tcPr>
            <w:tcW w:w="2736" w:type="dxa"/>
            <w:tcBorders>
              <w:top w:val="single" w:sz="4" w:space="0" w:color="FFFFFF"/>
              <w:left w:val="single" w:sz="4" w:space="0" w:color="FFFFFF"/>
              <w:bottom w:val="single" w:sz="4" w:space="0" w:color="FFFFFF"/>
              <w:right w:val="single" w:sz="4" w:space="0" w:color="FFFFFF"/>
            </w:tcBorders>
          </w:tcPr>
          <w:p>
            <w:pPr>
              <w:pStyle w:val="Contenudetableau"/>
              <w:widowControl/>
              <w:jc w:val="center"/>
              <w:rPr/>
            </w:pPr>
            <w:r>
              <w:rPr>
                <w:rFonts w:eastAsia="Calibri" w:ascii="Calibri" w:hAnsi="Calibri"/>
                <w:color w:val="002060"/>
                <w:sz w:val="22"/>
                <w:szCs w:val="22"/>
                <w:lang w:eastAsia="en-US"/>
              </w:rPr>
              <w:t xml:space="preserve">2008</w:t>
            </w:r>
          </w:p>
        </w:tc>
      </w:tr>
    </w:tbl>
    <w:p>
      <w:pPr>
        <w:pStyle w:val="Normal"/>
        <w:rPr>
          <w:sz w:val="21"/>
          <w:szCs w:val="21"/>
        </w:rPr>
      </w:pPr>
      <w:r>
        <w:rPr>
          <w:rFonts w:ascii="Calibri" w:hAnsi="Calibri"/>
          <w:sz w:val="21"/>
          <w:szCs w:val="21"/>
        </w:rPr>
        <w:t xml:space="preserve"/>
      </w:r>
    </w:p>
    <w:tbl>
      <w:tblPr>
        <w:tblW w:w="1021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7481"/>
        <w:gridCol w:w="2736"/>
      </w:tblGrid>
      <w:tr>
        <w:trPr>
          <w:trHeight w:val="300" w:hRule="atLeast"/>
        </w:trPr>
        <w:tc>
          <w:tcPr>
            <w:tcW w:w="7481" w:type="dxa"/>
            <w:tcBorders>
              <w:top w:val="single" w:sz="4" w:space="0" w:color="FFFFFF"/>
              <w:left w:val="single" w:sz="4" w:space="0" w:color="FFFFFF"/>
              <w:bottom w:val="single" w:sz="4" w:space="0" w:color="FFFFFF"/>
              <w:right w:val="single" w:sz="4" w:space="0" w:color="FFFFFF"/>
            </w:tcBorders>
          </w:tcPr>
          <w:p>
            <w:pPr>
              <w:pStyle w:val="Normal"/>
              <w:numPr>
                <w:ilvl w:val="1"/>
                <w:numId w:val="5"/>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WebSphere Application Server Version 6 – Performance et Tuning</w:t>
              <w:br/>
              <w:t xml:space="preserve">IBM</w:t>
            </w:r>
          </w:p>
        </w:tc>
        <w:tc>
          <w:tcPr>
            <w:tcW w:w="2736" w:type="dxa"/>
            <w:tcBorders>
              <w:top w:val="single" w:sz="4" w:space="0" w:color="FFFFFF"/>
              <w:left w:val="single" w:sz="4" w:space="0" w:color="FFFFFF"/>
              <w:bottom w:val="single" w:sz="4" w:space="0" w:color="FFFFFF"/>
              <w:right w:val="single" w:sz="4" w:space="0" w:color="FFFFFF"/>
            </w:tcBorders>
          </w:tcPr>
          <w:p>
            <w:pPr>
              <w:pStyle w:val="Contenudetableau"/>
              <w:widowControl/>
              <w:jc w:val="center"/>
              <w:rPr/>
            </w:pPr>
            <w:r>
              <w:rPr>
                <w:rFonts w:eastAsia="Calibri" w:ascii="Calibri" w:hAnsi="Calibri"/>
                <w:color w:val="002060"/>
                <w:sz w:val="22"/>
                <w:szCs w:val="22"/>
                <w:lang w:eastAsia="en-US"/>
              </w:rPr>
              <w:t xml:space="preserve">2007</w:t>
            </w:r>
          </w:p>
        </w:tc>
      </w:tr>
    </w:tbl>
    <w:p>
      <w:pPr>
        <w:pStyle w:val="Normal"/>
        <w:rPr>
          <w:sz w:val="21"/>
          <w:szCs w:val="21"/>
        </w:rPr>
      </w:pPr>
      <w:r>
        <w:rPr>
          <w:rFonts w:ascii="Calibri" w:hAnsi="Calibri"/>
          <w:sz w:val="21"/>
          <w:szCs w:val="21"/>
        </w:rPr>
        <w:t xml:space="preserve"/>
      </w:r>
    </w:p>
    <w:tbl>
      <w:tblPr>
        <w:tblW w:w="1021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7481"/>
        <w:gridCol w:w="2736"/>
      </w:tblGrid>
      <w:tr>
        <w:trPr>
          <w:trHeight w:val="300" w:hRule="atLeast"/>
        </w:trPr>
        <w:tc>
          <w:tcPr>
            <w:tcW w:w="7481" w:type="dxa"/>
            <w:tcBorders>
              <w:top w:val="single" w:sz="4" w:space="0" w:color="FFFFFF"/>
              <w:left w:val="single" w:sz="4" w:space="0" w:color="FFFFFF"/>
              <w:bottom w:val="single" w:sz="4" w:space="0" w:color="FFFFFF"/>
              <w:right w:val="single" w:sz="4" w:space="0" w:color="FFFFFF"/>
            </w:tcBorders>
          </w:tcPr>
          <w:p>
            <w:pPr>
              <w:pStyle w:val="Normal"/>
              <w:numPr>
                <w:ilvl w:val="1"/>
                <w:numId w:val="5"/>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DUSCT (Bac + 4) – Intégrateur Systèmes environnements Unix et Windows</w:t>
              <w:br/>
              <w:t xml:space="preserve">Université de Nanterre</w:t>
            </w:r>
          </w:p>
        </w:tc>
        <w:tc>
          <w:tcPr>
            <w:tcW w:w="2736" w:type="dxa"/>
            <w:tcBorders>
              <w:top w:val="single" w:sz="4" w:space="0" w:color="FFFFFF"/>
              <w:left w:val="single" w:sz="4" w:space="0" w:color="FFFFFF"/>
              <w:bottom w:val="single" w:sz="4" w:space="0" w:color="FFFFFF"/>
              <w:right w:val="single" w:sz="4" w:space="0" w:color="FFFFFF"/>
            </w:tcBorders>
          </w:tcPr>
          <w:p>
            <w:pPr>
              <w:pStyle w:val="Contenudetableau"/>
              <w:widowControl/>
              <w:jc w:val="center"/>
              <w:rPr/>
            </w:pPr>
            <w:r>
              <w:rPr>
                <w:rFonts w:eastAsia="Calibri" w:ascii="Calibri" w:hAnsi="Calibri"/>
                <w:color w:val="002060"/>
                <w:sz w:val="22"/>
                <w:szCs w:val="22"/>
                <w:lang w:eastAsia="en-US"/>
              </w:rPr>
              <w:t xml:space="preserve">2005</w:t>
            </w:r>
          </w:p>
        </w:tc>
      </w:tr>
    </w:tbl>
    <w:p>
      <w:pPr>
        <w:pStyle w:val="Normal"/>
        <w:rPr>
          <w:sz w:val="21"/>
          <w:szCs w:val="21"/>
        </w:rPr>
      </w:pPr>
      <w:r>
        <w:rPr>
          <w:rFonts w:ascii="Calibri" w:hAnsi="Calibri"/>
          <w:sz w:val="21"/>
          <w:szCs w:val="21"/>
        </w:rPr>
        <w:t xml:space="preserve"/>
      </w:r>
    </w:p>
    <w:tbl>
      <w:tblPr>
        <w:tblW w:w="1021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7481"/>
        <w:gridCol w:w="2736"/>
      </w:tblGrid>
      <w:tr>
        <w:trPr>
          <w:trHeight w:val="300" w:hRule="atLeast"/>
        </w:trPr>
        <w:tc>
          <w:tcPr>
            <w:tcW w:w="7481" w:type="dxa"/>
            <w:tcBorders>
              <w:top w:val="single" w:sz="4" w:space="0" w:color="FFFFFF"/>
              <w:left w:val="single" w:sz="4" w:space="0" w:color="FFFFFF"/>
              <w:bottom w:val="single" w:sz="4" w:space="0" w:color="FFFFFF"/>
              <w:right w:val="single" w:sz="4" w:space="0" w:color="FFFFFF"/>
            </w:tcBorders>
          </w:tcPr>
          <w:p>
            <w:pPr>
              <w:pStyle w:val="Normal"/>
              <w:numPr>
                <w:ilvl w:val="1"/>
                <w:numId w:val="5"/>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Maîtrise – Génie Électrique et Informatique Industrielle</w:t>
              <w:br/>
              <w:t xml:space="preserve">Université d’Orsay</w:t>
            </w:r>
          </w:p>
        </w:tc>
        <w:tc>
          <w:tcPr>
            <w:tcW w:w="2736" w:type="dxa"/>
            <w:tcBorders>
              <w:top w:val="single" w:sz="4" w:space="0" w:color="FFFFFF"/>
              <w:left w:val="single" w:sz="4" w:space="0" w:color="FFFFFF"/>
              <w:bottom w:val="single" w:sz="4" w:space="0" w:color="FFFFFF"/>
              <w:right w:val="single" w:sz="4" w:space="0" w:color="FFFFFF"/>
            </w:tcBorders>
          </w:tcPr>
          <w:p>
            <w:pPr>
              <w:pStyle w:val="Contenudetableau"/>
              <w:widowControl/>
              <w:jc w:val="center"/>
              <w:rPr/>
            </w:pPr>
            <w:r>
              <w:rPr>
                <w:rFonts w:eastAsia="Calibri" w:ascii="Calibri" w:hAnsi="Calibri"/>
                <w:color w:val="002060"/>
                <w:sz w:val="22"/>
                <w:szCs w:val="22"/>
                <w:lang w:eastAsia="en-US"/>
              </w:rPr>
              <w:t xml:space="preserve">2003</w:t>
            </w:r>
          </w:p>
        </w:tc>
      </w:tr>
    </w:tbl>
    <w:p>
      <w:pPr>
        <w:pStyle w:val="Normal"/>
        <w:rPr>
          <w:sz w:val="21"/>
          <w:szCs w:val="21"/>
        </w:rPr>
      </w:pPr>
      <w:r>
        <w:rPr>
          <w:rFonts w:ascii="Calibri" w:hAnsi="Calibri"/>
          <w:sz w:val="21"/>
          <w:szCs w:val="21"/>
        </w:rPr>
        <w:t xml:space="preserve"/>
      </w:r>
    </w:p>
    <w:tbl>
      <w:tblPr>
        <w:tblW w:w="1021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7481"/>
        <w:gridCol w:w="2736"/>
      </w:tblGrid>
      <w:tr>
        <w:trPr>
          <w:trHeight w:val="300" w:hRule="atLeast"/>
        </w:trPr>
        <w:tc>
          <w:tcPr>
            <w:tcW w:w="7481" w:type="dxa"/>
            <w:tcBorders>
              <w:top w:val="single" w:sz="4" w:space="0" w:color="FFFFFF"/>
              <w:left w:val="single" w:sz="4" w:space="0" w:color="FFFFFF"/>
              <w:bottom w:val="single" w:sz="4" w:space="0" w:color="FFFFFF"/>
              <w:right w:val="single" w:sz="4" w:space="0" w:color="FFFFFF"/>
            </w:tcBorders>
          </w:tcPr>
          <w:p>
            <w:pPr>
              <w:pStyle w:val="Normal"/>
              <w:numPr>
                <w:ilvl w:val="1"/>
                <w:numId w:val="5"/>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Licence – Génie Électrique et Informatique Industrielle (alternance)</w:t>
              <w:br/>
              <w:t xml:space="preserve">Université d’Orsay</w:t>
            </w:r>
          </w:p>
        </w:tc>
        <w:tc>
          <w:tcPr>
            <w:tcW w:w="2736" w:type="dxa"/>
            <w:tcBorders>
              <w:top w:val="single" w:sz="4" w:space="0" w:color="FFFFFF"/>
              <w:left w:val="single" w:sz="4" w:space="0" w:color="FFFFFF"/>
              <w:bottom w:val="single" w:sz="4" w:space="0" w:color="FFFFFF"/>
              <w:right w:val="single" w:sz="4" w:space="0" w:color="FFFFFF"/>
            </w:tcBorders>
          </w:tcPr>
          <w:p>
            <w:pPr>
              <w:pStyle w:val="Contenudetableau"/>
              <w:widowControl/>
              <w:jc w:val="center"/>
              <w:rPr/>
            </w:pPr>
            <w:r>
              <w:rPr>
                <w:rFonts w:eastAsia="Calibri" w:ascii="Calibri" w:hAnsi="Calibri"/>
                <w:color w:val="002060"/>
                <w:sz w:val="22"/>
                <w:szCs w:val="22"/>
                <w:lang w:eastAsia="en-US"/>
              </w:rPr>
              <w:t xml:space="preserve">2002</w:t>
            </w:r>
          </w:p>
        </w:tc>
      </w:tr>
    </w:tbl>
    <w:p>
      <w:pPr>
        <w:pStyle w:val="Normal"/>
        <w:rPr>
          <w:sz w:val="21"/>
          <w:szCs w:val="21"/>
        </w:rPr>
      </w:pPr>
      <w:r>
        <w:rPr>
          <w:rFonts w:ascii="Calibri" w:hAnsi="Calibri"/>
          <w:sz w:val="21"/>
          <w:szCs w:val="21"/>
        </w:rPr>
        <w:t xml:space="preserve"/>
      </w:r>
    </w:p>
    <w:tbl>
      <w:tblPr>
        <w:tblW w:w="1021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7481"/>
        <w:gridCol w:w="2736"/>
      </w:tblGrid>
      <w:tr>
        <w:trPr>
          <w:trHeight w:val="300" w:hRule="atLeast"/>
        </w:trPr>
        <w:tc>
          <w:tcPr>
            <w:tcW w:w="7481" w:type="dxa"/>
            <w:tcBorders>
              <w:top w:val="single" w:sz="4" w:space="0" w:color="FFFFFF"/>
              <w:left w:val="single" w:sz="4" w:space="0" w:color="FFFFFF"/>
              <w:bottom w:val="single" w:sz="4" w:space="0" w:color="FFFFFF"/>
              <w:right w:val="single" w:sz="4" w:space="0" w:color="FFFFFF"/>
            </w:tcBorders>
          </w:tcPr>
          <w:p>
            <w:pPr>
              <w:pStyle w:val="Normal"/>
              <w:numPr>
                <w:ilvl w:val="1"/>
                <w:numId w:val="5"/>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DEUST – Électronique et Informatique Appliquée (alternance)</w:t>
              <w:br/>
              <w:t xml:space="preserve">IFITEP</w:t>
            </w:r>
          </w:p>
        </w:tc>
        <w:tc>
          <w:tcPr>
            <w:tcW w:w="2736" w:type="dxa"/>
            <w:tcBorders>
              <w:top w:val="single" w:sz="4" w:space="0" w:color="FFFFFF"/>
              <w:left w:val="single" w:sz="4" w:space="0" w:color="FFFFFF"/>
              <w:bottom w:val="single" w:sz="4" w:space="0" w:color="FFFFFF"/>
              <w:right w:val="single" w:sz="4" w:space="0" w:color="FFFFFF"/>
            </w:tcBorders>
          </w:tcPr>
          <w:p>
            <w:pPr>
              <w:pStyle w:val="Contenudetableau"/>
              <w:widowControl/>
              <w:jc w:val="center"/>
              <w:rPr/>
            </w:pPr>
            <w:r>
              <w:rPr>
                <w:rFonts w:eastAsia="Calibri" w:ascii="Calibri" w:hAnsi="Calibri"/>
                <w:color w:val="002060"/>
                <w:sz w:val="22"/>
                <w:szCs w:val="22"/>
                <w:lang w:eastAsia="en-US"/>
              </w:rPr>
              <w:t xml:space="preserve">2000</w:t>
            </w:r>
          </w:p>
        </w:tc>
      </w:tr>
    </w:tbl>
    <w:p>
      <w:pPr>
        <w:pStyle w:val="Normal"/>
        <w:rPr>
          <w:sz w:val="21"/>
          <w:szCs w:val="21"/>
        </w:rPr>
      </w:pPr>
      <w:r>
        <w:rPr>
          <w:rFonts w:ascii="Calibri" w:hAnsi="Calibri"/>
          <w:sz w:val="21"/>
          <w:szCs w:val="21"/>
        </w:rPr>
        <w:t xml:space="preserve"/>
      </w:r>
    </w:p>
    <w:tbl>
      <w:tblPr>
        <w:tblW w:w="10218"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7481"/>
        <w:gridCol w:w="2736"/>
      </w:tblGrid>
      <w:tr>
        <w:trPr>
          <w:trHeight w:val="300" w:hRule="atLeast"/>
        </w:trPr>
        <w:tc>
          <w:tcPr>
            <w:tcW w:w="7481" w:type="dxa"/>
            <w:tcBorders>
              <w:top w:val="single" w:sz="4" w:space="0" w:color="FFFFFF"/>
              <w:left w:val="single" w:sz="4" w:space="0" w:color="FFFFFF"/>
              <w:bottom w:val="single" w:sz="4" w:space="0" w:color="FFFFFF"/>
              <w:right w:val="single" w:sz="4" w:space="0" w:color="FFFFFF"/>
            </w:tcBorders>
          </w:tcPr>
          <w:p>
            <w:pPr>
              <w:pStyle w:val="Normal"/>
              <w:numPr>
                <w:ilvl w:val="1"/>
                <w:numId w:val="5"/>
              </w:numPr>
              <w:tabs>
                <w:tab w:val="clear" w:pos="708"/>
                <w:tab w:val="left" w:pos="1134" w:leader="none"/>
              </w:tabs>
              <w:suppressAutoHyphens w:val="false"/>
              <w:spacing w:before="60" w:after="0"/>
              <w:ind w:hanging="567" w:left="1134"/>
              <w:rPr>
                <w:rFonts w:ascii="Calibri" w:hAnsi="Calibri" w:cs="Calibri"/>
                <w:color w:val="002060"/>
                <w:sz w:val="22"/>
                <w:szCs w:val="22"/>
              </w:rPr>
            </w:pPr>
            <w:r>
              <w:rPr>
                <w:rFonts w:cs="Calibri" w:ascii="Calibri" w:hAnsi="Calibri"/>
                <w:color w:val="002060"/>
                <w:sz w:val="22"/>
                <w:szCs w:val="22"/>
              </w:rPr>
              <w:t xml:space="preserve">Baccalauréat STI – mention Assez Bien</w:t>
              <w:br/>
              <w:t xml:space="preserve">Lycée Richelieu (Rueil‑Malmaison)</w:t>
            </w:r>
          </w:p>
        </w:tc>
        <w:tc>
          <w:tcPr>
            <w:tcW w:w="2736" w:type="dxa"/>
            <w:tcBorders>
              <w:top w:val="single" w:sz="4" w:space="0" w:color="FFFFFF"/>
              <w:left w:val="single" w:sz="4" w:space="0" w:color="FFFFFF"/>
              <w:bottom w:val="single" w:sz="4" w:space="0" w:color="FFFFFF"/>
              <w:right w:val="single" w:sz="4" w:space="0" w:color="FFFFFF"/>
            </w:tcBorders>
          </w:tcPr>
          <w:p>
            <w:pPr>
              <w:pStyle w:val="Contenudetableau"/>
              <w:widowControl/>
              <w:jc w:val="center"/>
              <w:rPr/>
            </w:pPr>
            <w:r>
              <w:rPr>
                <w:rFonts w:eastAsia="Calibri" w:ascii="Calibri" w:hAnsi="Calibri"/>
                <w:color w:val="002060"/>
                <w:sz w:val="22"/>
                <w:szCs w:val="22"/>
                <w:lang w:eastAsia="en-US"/>
              </w:rPr>
              <w:t xml:space="preserve">1998</w:t>
            </w:r>
          </w:p>
        </w:tc>
      </w:tr>
    </w:tbl>
    <w:p>
      <w:pPr>
        <w:pStyle w:val="Normal"/>
        <w:rPr>
          <w:sz w:val="21"/>
          <w:szCs w:val="21"/>
        </w:rPr>
      </w:pPr>
      <w:r>
        <w:rPr>
          <w:rFonts w:ascii="Calibri" w:hAnsi="Calibri"/>
          <w:sz w:val="21"/>
          <w:szCs w:val="21"/>
        </w:rPr>
        <w:t xml:space="preserve"/>
      </w:r>
      <w:r>
        <w:rPr>
          <w:sz w:val="21"/>
          <w:szCs w:val="21"/>
        </w:rPr>
        <w:t xml:space="preserve"/>
      </w:r>
    </w:p>
    <w:p>
      <w:pPr>
        <w:pStyle w:val="Normal"/>
        <w:rPr/>
      </w:pPr>
      <w:r>
        <w:rPr/>
        <mc:AlternateContent>
          <mc:Choice Requires="wps">
            <w:drawing>
              <wp:inline distT="0" distB="0" distL="0" distR="0">
                <wp:extent cx="6494145" cy="309880"/>
                <wp:effectExtent l="114300" t="0" r="114300" b="0"/>
                <wp:docPr id="1005" name="Rectangle : coins arrondis 1"/>
                <a:graphic xmlns:a="http://schemas.openxmlformats.org/drawingml/2006/main">
                  <a:graphicData uri="http://schemas.microsoft.com/office/word/2010/wordprocessingShape">
                    <wps:wsp>
                      <wps:cNvSpPr/>
                      <wps:nvSpPr>
                        <wps:cNvPr id="12" name="Rectangle : coins arrondis 1"/>
                        <wps:cNvSpPr/>
                      </wps:nvSpPr>
                      <wps:spPr>
                        <a:xfrm>
                          <a:off x="0" y="0"/>
                          <a:ext cx="6494040" cy="309960"/>
                        </a:xfrm>
                        <a:prstGeom prst="roundRect">
                          <a:avLst/>
                        </a:prstGeom>
                        <a:gradFill rotWithShape="0">
                          <a:gsLst>
                            <a:gs pos="0">
                              <a:srgbClr val="284475"/>
                            </a:gs>
                            <a:gs pos="100000">
                              <a:srgbClr val="4472c4"/>
                            </a:gs>
                          </a:gsLst>
                          <a:lin ang="18900000"/>
                        </a:gradFill>
                        <a:ln w="12600">
                          <a:solidFill>
                            <a:srgbClr val="02466d"/>
                          </a:solidFill>
                          <a:round/>
                        </a:ln>
                      </wps:spPr>
                      <wps:txb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EXPÉRIENCES PROFESSIONNELLES</w:t>
                            </w:r>
                          </w:p>
                        </w:txbxContent>
                      </wps:txbx>
                      <wps:bodyPr anchor="t" anchorCtr="1">
                        <a:noAutofit/>
                      </wps:bodyPr>
                    </wps:wsp>
                  </a:graphicData>
                </a:graphic>
              </wp:inline>
            </w:drawing>
          </mc:Choice>
          <mc:Fallback>
            <w:pict>
              <v:roundrect id="shape_0" ID="Rectangle : coins arrondis 1" fillcolor="#284475" stroked="t" o:allowincell="f" style="position:absolute;margin-left:0pt;margin-top:-24.45pt;width:511.3pt;height:24.35pt;mso-wrap-style:square;v-text-anchor:top-center;mso-position-vertical:top">
                <v:fill o:detectmouseclick="t" color2="#4472c4"/>
                <v:stroke color="#02466d" weight="12600" joinstyle="round" endcap="flat"/>
                <v:textbox>
                  <w:txbxContent>
                    <w:p>
                      <w:pPr>
                        <w:pStyle w:val="Contenudecadre"/>
                        <w:jc w:val="center"/>
                        <w:rPr>
                          <w:rFonts w:ascii="Open Sauce Sans Light" w:hAnsi="Open Sauce Sans Light" w:cs="Calibri"/>
                          <w:b/>
                          <w:color w:val="FFFFFF"/>
                        </w:rPr>
                      </w:pPr>
                      <w:r>
                        <w:rPr>
                          <w:rFonts w:cs="Calibri" w:ascii="Open Sauce Sans Light" w:hAnsi="Open Sauce Sans Light"/>
                          <w:b/>
                          <w:color w:val="FFFFFF"/>
                        </w:rPr>
                        <w:t>EXPÉRIENCES PROFESSIONNELLES</w:t>
                      </w:r>
                    </w:p>
                  </w:txbxContent>
                </v:textbox>
                <w10:wrap type="none"/>
              </v:roundrect>
            </w:pict>
          </mc:Fallback>
        </mc:AlternateContent>
      </w:r>
    </w:p>
    <w:p>
      <w:pPr>
        <w:pStyle w:val="Normal"/>
        <w:rPr/>
      </w:pPr>
      <w:r>
        <w:rPr/>
        <w:t xml:space="preserve"/>
      </w:r>
    </w:p>
    <w:tbl>
      <w:tblPr>
        <w:tblW w:w="10200" w:type="dxa"/>
        <w:jc w:val="left"/>
        <w:tblInd w:w="0" w:type="dxa"/>
        <w:tblLayout w:type="fixed"/>
        <w:tblCellMar>
          <w:top w:w="0" w:type="dxa"/>
          <w:left w:w="2" w:type="dxa"/>
          <w:bottom w:w="57" w:type="dxa"/>
          <w:right w:w="0" w:type="dxa"/>
        </w:tblCellMar>
        <w:tblLook w:val="04a0" w:noHBand="0" w:noVBand="1" w:firstColumn="1" w:lastRow="0" w:lastColumn="0" w:firstRow="1"/>
      </w:tblPr>
      <w:tblGrid>
        <w:gridCol w:w="4137"/>
        <w:gridCol w:w="3230"/>
        <w:gridCol w:w="2833"/>
      </w:tblGrid>
      <w:tr>
        <w:trPr>
          <w:trHeight w:val="333" w:hRule="atLeast"/>
        </w:trPr>
        <w:tc>
          <w:tcPr>
            <w:tcW w:w="4137"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b/>
                <w:bCs/>
                <w:color w:val="002060"/>
                <w:sz w:val="22"/>
                <w:szCs w:val="22"/>
              </w:rPr>
              <w:t xml:space="preserve">BNP PARIBAS – PARTNERS FOR INNOVATION (INFOGÉRANCE DES INFRASTRUCTURES BPN PARIBAS)</w:t>
            </w:r>
          </w:p>
        </w:tc>
        <w:tc>
          <w:tcPr>
            <w:tcW w:w="3230"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Août 2023 – présent</w:t>
            </w:r>
          </w:p>
        </w:tc>
        <w:tc>
          <w:tcPr>
            <w:tcW w:w="2833" w:type="dxa"/>
            <w:tcBorders>
              <w:top w:val="single" w:sz="2" w:space="0" w:color="FFFFFF"/>
              <w:left w:val="single" w:sz="2" w:space="0" w:color="FFFFFF"/>
              <w:bottom w:val="single" w:sz="2" w:space="0" w:color="000000"/>
              <w:right w:val="single" w:sz="2" w:space="0" w:color="FFFFFF"/>
            </w:tcBorders>
          </w:tcPr>
          <w:p>
            <w:pPr>
              <w:pStyle w:val="Contenudetableau"/>
              <w:jc w:val="center"/>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(2 ans et 5 mois</w:t>
            </w:r>
            <w:r>
              <w:rPr>
                <w:rFonts w:cs="Calibri" w:ascii="Calibri" w:hAnsi="Calibri" w:asciiTheme="minorHAnsi" w:cstheme="minorHAnsi" w:hAnsiTheme="minorHAnsi"/>
                <w:color w:val="002060"/>
                <w:sz w:val="22"/>
                <w:szCs w:val="22"/>
              </w:rPr>
              <w:t>)</w:t>
            </w:r>
          </w:p>
        </w:tc>
      </w:tr>
    </w:tbl>
    <w:p>
      <w:pPr>
        <w:pStyle w:val="Normal"/>
        <w:rPr/>
      </w:pPr>
      <w:r>
        <w:rPr/>
      </w:r>
    </w:p>
    <w:tbl>
      <w:tblPr>
        <w:tblW w:w="10200"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cs="Calibri" w:cstheme="minorHAnsi"/>
                <w:sz w:val="22"/>
                <w:szCs w:val="22"/>
              </w:rPr>
            </w:pPr>
            <w:r>
              <w:rPr>
                <w:rFonts w:cs="Calibri" w:cstheme="minorHAnsi"/>
                <w:b/>
                <w:bCs/>
                <w:color w:val="002060"/>
                <w:sz w:val="22"/>
                <w:szCs w:val="22"/>
              </w:rPr>
              <w:t xml:space="preserve">Ingénieur Automatisation – Expert Middleware &amp; Infrastructures Java EE</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rPr>
                <w:rFonts w:ascii="Callibri" w:hAnsi="Callibri"/>
              </w:rPr>
            </w:pP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Gestion du parc Java JEE (~ 4 000 serveurs) – référent équipe, support Niveau 3</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Conception &amp; implémentation d’architectures JEE (IaC) – automatisation du provisioning, installation, désinstallation, mise à jour (CI/CD)</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Développement d’outils de configuration et d’installation automatisés pour la famille WebSphere Application Server</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Maintien en Conditions Opérationnelles (MCO) du parc, astreintes sur les technologies JEE et produits connexes</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Résolution d’incidents Niveau 3 sur les technologies JEE</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p>
            <w:pPr>
              <w:pStyle w:val="BodyText"/>
              <w:spacing w:before="0" w:after="120"/>
              <w:rPr>
                <w:rFonts w:ascii="Clibri" w:hAnsi="Clibri"/>
                <w:color w:val="002060"/>
                <w:sz w:val="20"/>
                <w:szCs w:val="20"/>
              </w:rPr>
            </w:pPr>
            <w:r>
              <w:rPr>
                <w:rFonts w:cs="Calibri" w:cstheme="minorHAnsi"/>
                <w:b/>
                <w:bCs/>
                <w:color w:val="002060"/>
                <w:sz w:val="22"/>
                <w:szCs w:val="22"/>
                <w:u w:val="single"/>
              </w:rPr>
              <w:t>Outils</w:t>
            </w:r>
            <w:r>
              <w:rPr>
                <w:rFonts w:ascii="Clibri" w:hAnsi="Clibri"/>
                <w:b/>
                <w:bCs/>
                <w:color w:val="002060"/>
                <w:sz w:val="20"/>
                <w:szCs w:val="20"/>
              </w:rPr>
              <w:t xml:space="preserve"> : </w:t>
            </w:r>
            <w:r>
              <w:rPr>
                <w:rFonts w:cs="Calibri" w:cstheme="minorHAnsi"/>
                <w:b/>
                <w:bCs/>
                <w:color w:val="002060"/>
                <w:sz w:val="22"/>
                <w:szCs w:val="22"/>
              </w:rPr>
              <w:t xml:space="preserve">Git, GitLab, Red Hat Ansible Automation Platform, JFrog Artifactory, Jenkins, Swagger, Postman, Ansible Vault, CyberArk Enterprise Password Vault, HashiCorp Vault, CyberArk Privileged Access Manager, WebSphere Application Server, Linux Red Hat 7/8/9, AIX</w:t>
            </w:r>
          </w:p>
        </w:tc>
      </w:tr>
    </w:tbl>
    <w:p>
      <w:pPr>
        <w:pStyle w:val="Contenudetableau"/>
        <w:rPr>
          <w:sz w:val="21"/>
          <w:szCs w:val="21"/>
        </w:rPr>
      </w:pPr>
      <w:r>
        <w:rPr>
          <w:sz w:val="21"/>
          <w:szCs w:val="21"/>
        </w:rPr>
      </w:r>
    </w:p>
    <w:p>
      <w:pPr>
        <w:pStyle w:val="Contenudetableau"/>
        <w:spacing w:before="0" w:after="120"/>
        <w:rPr/>
      </w:pPr>
      <w:r>
        <w:rPr>
          <w:rFonts w:cs="Calibri" w:ascii="Calibri" w:hAnsi="Calibri"/>
          <w:color w:val="000000"/>
          <w:sz w:val="21"/>
          <w:szCs w:val="21"/>
        </w:rPr>
        <w:t xml:space="preserve"/>
      </w:r>
    </w:p>
    <w:tbl>
      <w:tblPr>
        <w:tblW w:w="10200" w:type="dxa"/>
        <w:jc w:val="left"/>
        <w:tblInd w:w="0" w:type="dxa"/>
        <w:tblLayout w:type="fixed"/>
        <w:tblCellMar>
          <w:top w:w="0" w:type="dxa"/>
          <w:left w:w="2" w:type="dxa"/>
          <w:bottom w:w="57" w:type="dxa"/>
          <w:right w:w="0" w:type="dxa"/>
        </w:tblCellMar>
        <w:tblLook w:val="04a0" w:noHBand="0" w:noVBand="1" w:firstColumn="1" w:lastRow="0" w:lastColumn="0" w:firstRow="1"/>
      </w:tblPr>
      <w:tblGrid>
        <w:gridCol w:w="4137"/>
        <w:gridCol w:w="3230"/>
        <w:gridCol w:w="2833"/>
      </w:tblGrid>
      <w:tr>
        <w:trPr>
          <w:trHeight w:val="333" w:hRule="atLeast"/>
        </w:trPr>
        <w:tc>
          <w:tcPr>
            <w:tcW w:w="4137"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b/>
                <w:bCs/>
                <w:color w:val="002060"/>
                <w:sz w:val="22"/>
                <w:szCs w:val="22"/>
              </w:rPr>
              <w:t xml:space="preserve">BNP PARIBAS – ITG PRODUCTION – AUTOMATION CENTER OF EXCELLENCE</w:t>
            </w:r>
          </w:p>
        </w:tc>
        <w:tc>
          <w:tcPr>
            <w:tcW w:w="3230"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Février 2023 – juillet 2023</w:t>
            </w:r>
          </w:p>
        </w:tc>
        <w:tc>
          <w:tcPr>
            <w:tcW w:w="2833" w:type="dxa"/>
            <w:tcBorders>
              <w:top w:val="single" w:sz="2" w:space="0" w:color="FFFFFF"/>
              <w:left w:val="single" w:sz="2" w:space="0" w:color="FFFFFF"/>
              <w:bottom w:val="single" w:sz="2" w:space="0" w:color="000000"/>
              <w:right w:val="single" w:sz="2" w:space="0" w:color="FFFFFF"/>
            </w:tcBorders>
          </w:tcPr>
          <w:p>
            <w:pPr>
              <w:pStyle w:val="Contenudetableau"/>
              <w:jc w:val="center"/>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(6 mois</w:t>
            </w:r>
            <w:r>
              <w:rPr>
                <w:rFonts w:cs="Calibri" w:ascii="Calibri" w:hAnsi="Calibri" w:asciiTheme="minorHAnsi" w:cstheme="minorHAnsi" w:hAnsiTheme="minorHAnsi"/>
                <w:color w:val="002060"/>
                <w:sz w:val="22"/>
                <w:szCs w:val="22"/>
              </w:rPr>
              <w:t>)</w:t>
            </w:r>
          </w:p>
        </w:tc>
      </w:tr>
    </w:tbl>
    <w:p>
      <w:pPr>
        <w:pStyle w:val="Normal"/>
        <w:rPr/>
      </w:pPr>
      <w:r>
        <w:rPr/>
      </w:r>
    </w:p>
    <w:tbl>
      <w:tblPr>
        <w:tblW w:w="10200"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cs="Calibri" w:cstheme="minorHAnsi"/>
                <w:sz w:val="22"/>
                <w:szCs w:val="22"/>
              </w:rPr>
            </w:pPr>
            <w:r>
              <w:rPr>
                <w:rFonts w:cs="Calibri" w:cstheme="minorHAnsi"/>
                <w:b/>
                <w:bCs/>
                <w:color w:val="002060"/>
                <w:sz w:val="22"/>
                <w:szCs w:val="22"/>
              </w:rPr>
              <w:t xml:space="preserve">Ingénieur Automatisation DevOps</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rPr>
                <w:rFonts w:ascii="Callibri" w:hAnsi="Callibri"/>
              </w:rPr>
            </w:pP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Développement de solutions transverses pour le programme Production As Code (provisioning automatisé depuis Cloud interne &amp; Cloud on‑premise)</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Création d’outils de configuration &amp; d’installation automatisés (serveurs &amp; piles logicielles)</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Patching &amp; upgrade automatisés des OS &amp; logiciels</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Reconstruction automatisée d’OS &amp; logiciels</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Développement &amp; intégration de pipelines CI/CD sur Red Hat Ansible Automation Platform</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Support aux développeurs &amp; équipes opérationnelles, assistance aux chefs de projet</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p>
            <w:pPr>
              <w:pStyle w:val="BodyText"/>
              <w:spacing w:before="0" w:after="120"/>
              <w:rPr>
                <w:rFonts w:ascii="Clibri" w:hAnsi="Clibri"/>
                <w:color w:val="002060"/>
                <w:sz w:val="20"/>
                <w:szCs w:val="20"/>
              </w:rPr>
            </w:pPr>
            <w:r>
              <w:rPr>
                <w:rFonts w:cs="Calibri" w:cstheme="minorHAnsi"/>
                <w:b/>
                <w:bCs/>
                <w:color w:val="002060"/>
                <w:sz w:val="22"/>
                <w:szCs w:val="22"/>
                <w:u w:val="single"/>
              </w:rPr>
              <w:t>Outils</w:t>
            </w:r>
            <w:r>
              <w:rPr>
                <w:rFonts w:ascii="Clibri" w:hAnsi="Clibri"/>
                <w:b/>
                <w:bCs/>
                <w:color w:val="002060"/>
                <w:sz w:val="20"/>
                <w:szCs w:val="20"/>
              </w:rPr>
              <w:t xml:space="preserve"> : </w:t>
            </w:r>
            <w:r>
              <w:rPr>
                <w:rFonts w:cs="Calibri" w:cstheme="minorHAnsi"/>
                <w:b/>
                <w:bCs/>
                <w:color w:val="002060"/>
                <w:sz w:val="22"/>
                <w:szCs w:val="22"/>
              </w:rPr>
              <w:t xml:space="preserve">Git, GitLab, Red Hat Ansible Automation Platform, JFrog Artifactory, Jenkins, Swagger, Postman, Ansible Vault, CyberArk Enterprise Password Vault, HashiCorp Vault, CyberArk Privileged Access Manager, Linux Red Hat 8, AIX</w:t>
            </w:r>
          </w:p>
        </w:tc>
      </w:tr>
    </w:tbl>
    <w:p>
      <w:pPr>
        <w:pStyle w:val="Contenudetableau"/>
        <w:rPr>
          <w:sz w:val="21"/>
          <w:szCs w:val="21"/>
        </w:rPr>
      </w:pPr>
      <w:r>
        <w:rPr>
          <w:sz w:val="21"/>
          <w:szCs w:val="21"/>
        </w:rPr>
      </w:r>
    </w:p>
    <w:p>
      <w:pPr>
        <w:pStyle w:val="Contenudetableau"/>
        <w:spacing w:before="0" w:after="120"/>
        <w:rPr/>
      </w:pPr>
      <w:r>
        <w:rPr>
          <w:rFonts w:cs="Calibri" w:ascii="Calibri" w:hAnsi="Calibri"/>
          <w:color w:val="000000"/>
          <w:sz w:val="21"/>
          <w:szCs w:val="21"/>
        </w:rPr>
        <w:t xml:space="preserve"/>
      </w:r>
    </w:p>
    <w:tbl>
      <w:tblPr>
        <w:tblW w:w="10200" w:type="dxa"/>
        <w:jc w:val="left"/>
        <w:tblInd w:w="0" w:type="dxa"/>
        <w:tblLayout w:type="fixed"/>
        <w:tblCellMar>
          <w:top w:w="0" w:type="dxa"/>
          <w:left w:w="2" w:type="dxa"/>
          <w:bottom w:w="57" w:type="dxa"/>
          <w:right w:w="0" w:type="dxa"/>
        </w:tblCellMar>
        <w:tblLook w:val="04a0" w:noHBand="0" w:noVBand="1" w:firstColumn="1" w:lastRow="0" w:lastColumn="0" w:firstRow="1"/>
      </w:tblPr>
      <w:tblGrid>
        <w:gridCol w:w="4137"/>
        <w:gridCol w:w="3230"/>
        <w:gridCol w:w="2833"/>
      </w:tblGrid>
      <w:tr>
        <w:trPr>
          <w:trHeight w:val="333" w:hRule="atLeast"/>
        </w:trPr>
        <w:tc>
          <w:tcPr>
            <w:tcW w:w="4137"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b/>
                <w:bCs/>
                <w:color w:val="002060"/>
                <w:sz w:val="22"/>
                <w:szCs w:val="22"/>
              </w:rPr>
              <w:t xml:space="preserve">EUROCLEAR (DÉPOSITAIRE  RÈGLEMENT‑LIVRAISON)</w:t>
            </w:r>
          </w:p>
        </w:tc>
        <w:tc>
          <w:tcPr>
            <w:tcW w:w="3230"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Avril 2021 – février 2023</w:t>
            </w:r>
          </w:p>
        </w:tc>
        <w:tc>
          <w:tcPr>
            <w:tcW w:w="2833" w:type="dxa"/>
            <w:tcBorders>
              <w:top w:val="single" w:sz="2" w:space="0" w:color="FFFFFF"/>
              <w:left w:val="single" w:sz="2" w:space="0" w:color="FFFFFF"/>
              <w:bottom w:val="single" w:sz="2" w:space="0" w:color="000000"/>
              <w:right w:val="single" w:sz="2" w:space="0" w:color="FFFFFF"/>
            </w:tcBorders>
          </w:tcPr>
          <w:p>
            <w:pPr>
              <w:pStyle w:val="Contenudetableau"/>
              <w:jc w:val="center"/>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(1 an et 10 mois</w:t>
            </w:r>
            <w:r>
              <w:rPr>
                <w:rFonts w:cs="Calibri" w:ascii="Calibri" w:hAnsi="Calibri" w:asciiTheme="minorHAnsi" w:cstheme="minorHAnsi" w:hAnsiTheme="minorHAnsi"/>
                <w:color w:val="002060"/>
                <w:sz w:val="22"/>
                <w:szCs w:val="22"/>
              </w:rPr>
              <w:t>)</w:t>
            </w:r>
          </w:p>
        </w:tc>
      </w:tr>
    </w:tbl>
    <w:p>
      <w:pPr>
        <w:pStyle w:val="Normal"/>
        <w:rPr/>
      </w:pPr>
      <w:r>
        <w:rPr/>
      </w:r>
    </w:p>
    <w:tbl>
      <w:tblPr>
        <w:tblW w:w="10200"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cs="Calibri" w:cstheme="minorHAnsi"/>
                <w:sz w:val="22"/>
                <w:szCs w:val="22"/>
              </w:rPr>
            </w:pPr>
            <w:r>
              <w:rPr>
                <w:rFonts w:cs="Calibri" w:cstheme="minorHAnsi"/>
                <w:b/>
                <w:bCs/>
                <w:color w:val="002060"/>
                <w:sz w:val="22"/>
                <w:szCs w:val="22"/>
              </w:rPr>
              <w:t xml:space="preserve">Ingénieur Middleware – Expert Infrastructures Java EE</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rPr>
                <w:rFonts w:ascii="Callibri" w:hAnsi="Callibri"/>
              </w:rPr>
            </w:pP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Intégration  MCO des serveurs d’applications JEE (Windows  Linux)</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Conception  implémentation d’architectures JEE (WebSphere, Apache Tomcat, Red Hat JBoss EAP)</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Automatisation des installations  déploiements (Jython, Python, Ansible)</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Gestion de configuration, pipelines CI/CD (Git, Azure DevOps)</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Gestion trimestrielle des failles de sécurité, mise à niveau du parc</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Support Niveau 3 JEE, gestion des tableaux de bord Dynatrace</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p>
            <w:pPr>
              <w:pStyle w:val="BodyText"/>
              <w:spacing w:before="0" w:after="120"/>
              <w:rPr>
                <w:rFonts w:ascii="Clibri" w:hAnsi="Clibri"/>
                <w:color w:val="002060"/>
                <w:sz w:val="20"/>
                <w:szCs w:val="20"/>
              </w:rPr>
            </w:pPr>
            <w:r>
              <w:rPr>
                <w:rFonts w:cs="Calibri" w:cstheme="minorHAnsi"/>
                <w:b/>
                <w:bCs/>
                <w:color w:val="002060"/>
                <w:sz w:val="22"/>
                <w:szCs w:val="22"/>
                <w:u w:val="single"/>
              </w:rPr>
              <w:t>Outils</w:t>
            </w:r>
            <w:r>
              <w:rPr>
                <w:rFonts w:ascii="Clibri" w:hAnsi="Clibri"/>
                <w:b/>
                <w:bCs/>
                <w:color w:val="002060"/>
                <w:sz w:val="20"/>
                <w:szCs w:val="20"/>
              </w:rPr>
              <w:t xml:space="preserve"> : </w:t>
            </w:r>
            <w:r>
              <w:rPr>
                <w:rFonts w:cs="Calibri" w:cstheme="minorHAnsi"/>
                <w:b/>
                <w:bCs/>
                <w:color w:val="002060"/>
                <w:sz w:val="22"/>
                <w:szCs w:val="22"/>
              </w:rPr>
              <w:t xml:space="preserve">Git, Azure DevOps Server 2020, Ansible 2.9, Ansible Tower 3.8, Apache 2.4, WebSphere AS 8.0/8.5/9, JBoss EAP 7, Dynatrace 1.250, Linux Red Hat 7, Cluster Linux (pacemaker), Windows Server 2020</w:t>
            </w:r>
          </w:p>
        </w:tc>
      </w:tr>
    </w:tbl>
    <w:p>
      <w:pPr>
        <w:pStyle w:val="Contenudetableau"/>
        <w:rPr>
          <w:sz w:val="21"/>
          <w:szCs w:val="21"/>
        </w:rPr>
      </w:pPr>
      <w:r>
        <w:rPr>
          <w:sz w:val="21"/>
          <w:szCs w:val="21"/>
        </w:rPr>
      </w:r>
    </w:p>
    <w:p>
      <w:pPr>
        <w:pStyle w:val="Contenudetableau"/>
        <w:spacing w:before="0" w:after="120"/>
        <w:rPr/>
      </w:pPr>
      <w:r>
        <w:rPr>
          <w:rFonts w:cs="Calibri" w:ascii="Calibri" w:hAnsi="Calibri"/>
          <w:color w:val="000000"/>
          <w:sz w:val="21"/>
          <w:szCs w:val="21"/>
        </w:rPr>
        <w:t xml:space="preserve"/>
      </w:r>
    </w:p>
    <w:tbl>
      <w:tblPr>
        <w:tblW w:w="10200" w:type="dxa"/>
        <w:jc w:val="left"/>
        <w:tblInd w:w="0" w:type="dxa"/>
        <w:tblLayout w:type="fixed"/>
        <w:tblCellMar>
          <w:top w:w="0" w:type="dxa"/>
          <w:left w:w="2" w:type="dxa"/>
          <w:bottom w:w="57" w:type="dxa"/>
          <w:right w:w="0" w:type="dxa"/>
        </w:tblCellMar>
        <w:tblLook w:val="04a0" w:noHBand="0" w:noVBand="1" w:firstColumn="1" w:lastRow="0" w:lastColumn="0" w:firstRow="1"/>
      </w:tblPr>
      <w:tblGrid>
        <w:gridCol w:w="4137"/>
        <w:gridCol w:w="3230"/>
        <w:gridCol w:w="2833"/>
      </w:tblGrid>
      <w:tr>
        <w:trPr>
          <w:trHeight w:val="333" w:hRule="atLeast"/>
        </w:trPr>
        <w:tc>
          <w:tcPr>
            <w:tcW w:w="4137"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b/>
                <w:bCs/>
                <w:color w:val="002060"/>
                <w:sz w:val="22"/>
                <w:szCs w:val="22"/>
              </w:rPr>
              <w:t xml:space="preserve">BNP PARIBAS PERSONAL FINANCE (CETELEM) – TECHNICAL OFFICE</w:t>
            </w:r>
          </w:p>
        </w:tc>
        <w:tc>
          <w:tcPr>
            <w:tcW w:w="3230"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Novembre 2017 – mars 2021</w:t>
            </w:r>
          </w:p>
        </w:tc>
        <w:tc>
          <w:tcPr>
            <w:tcW w:w="2833" w:type="dxa"/>
            <w:tcBorders>
              <w:top w:val="single" w:sz="2" w:space="0" w:color="FFFFFF"/>
              <w:left w:val="single" w:sz="2" w:space="0" w:color="FFFFFF"/>
              <w:bottom w:val="single" w:sz="2" w:space="0" w:color="000000"/>
              <w:right w:val="single" w:sz="2" w:space="0" w:color="FFFFFF"/>
            </w:tcBorders>
          </w:tcPr>
          <w:p>
            <w:pPr>
              <w:pStyle w:val="Contenudetableau"/>
              <w:jc w:val="center"/>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(3 ans et 5 mois</w:t>
            </w:r>
            <w:r>
              <w:rPr>
                <w:rFonts w:cs="Calibri" w:ascii="Calibri" w:hAnsi="Calibri" w:asciiTheme="minorHAnsi" w:cstheme="minorHAnsi" w:hAnsiTheme="minorHAnsi"/>
                <w:color w:val="002060"/>
                <w:sz w:val="22"/>
                <w:szCs w:val="22"/>
              </w:rPr>
              <w:t>)</w:t>
            </w:r>
          </w:p>
        </w:tc>
      </w:tr>
    </w:tbl>
    <w:p>
      <w:pPr>
        <w:pStyle w:val="Normal"/>
        <w:rPr/>
      </w:pPr>
      <w:r>
        <w:rPr/>
      </w:r>
    </w:p>
    <w:tbl>
      <w:tblPr>
        <w:tblW w:w="10200"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cs="Calibri" w:cstheme="minorHAnsi"/>
                <w:sz w:val="22"/>
                <w:szCs w:val="22"/>
              </w:rPr>
            </w:pPr>
            <w:r>
              <w:rPr>
                <w:rFonts w:cs="Calibri" w:cstheme="minorHAnsi"/>
                <w:b/>
                <w:bCs/>
                <w:color w:val="002060"/>
                <w:sz w:val="22"/>
                <w:szCs w:val="22"/>
              </w:rPr>
              <w:t xml:space="preserve">Ingénieur Middleware Java EE – Expert Infrastructures Java EE</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rPr>
                <w:rFonts w:ascii="Callibri" w:hAnsi="Callibri"/>
              </w:rPr>
            </w:pP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Développement d’outils de configuration  d’installation automatisés (DevOps)</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Installation, configuration  administration de Rundeck, Ansible Tower (awx)  API REST</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Conception  intégration de pipelines CI/CD pour les socles techniques  applications Java EE (gestion des mots de passe dans des coffres Vault, appels API, gestion des configs)</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Référent pipelines Java EE (WebSphere ND, WebSphere Liberty)</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Référent support Java EE Niveau 3</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Support aux développeurs, équipes transverses  chefs de projet</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p>
            <w:pPr>
              <w:pStyle w:val="BodyText"/>
              <w:spacing w:before="0" w:after="120"/>
              <w:rPr>
                <w:rFonts w:ascii="Clibri" w:hAnsi="Clibri"/>
                <w:color w:val="002060"/>
                <w:sz w:val="20"/>
                <w:szCs w:val="20"/>
              </w:rPr>
            </w:pPr>
            <w:r>
              <w:rPr>
                <w:rFonts w:cs="Calibri" w:cstheme="minorHAnsi"/>
                <w:b/>
                <w:bCs/>
                <w:color w:val="002060"/>
                <w:sz w:val="22"/>
                <w:szCs w:val="22"/>
                <w:u w:val="single"/>
              </w:rPr>
              <w:t>Outils</w:t>
            </w:r>
            <w:r>
              <w:rPr>
                <w:rFonts w:ascii="Clibri" w:hAnsi="Clibri"/>
                <w:b/>
                <w:bCs/>
                <w:color w:val="002060"/>
                <w:sz w:val="20"/>
                <w:szCs w:val="20"/>
              </w:rPr>
              <w:t xml:space="preserve"> : </w:t>
            </w:r>
            <w:r>
              <w:rPr>
                <w:rFonts w:cs="Calibri" w:cstheme="minorHAnsi"/>
                <w:b/>
                <w:bCs/>
                <w:color w:val="002060"/>
                <w:sz w:val="22"/>
                <w:szCs w:val="22"/>
              </w:rPr>
              <w:t xml:space="preserve">Git, GitLab, Ansible 2.4/2.8, Ansible Tower (awx), ELK, Nexus, JFrog Artifactory, Jenkins, Rundeck, Swagger, Postman, Ansible Vault, CyberArk Enterprise Password Vault, HashiCorp Vault, Linux Red Hat 7, AIX, Docker 1.13, Docker Compose 1.24, WebSphere AS 8.0/8.5, WebSphere Liberty 8, Oracle, PGP</w:t>
            </w:r>
          </w:p>
        </w:tc>
      </w:tr>
    </w:tbl>
    <w:p>
      <w:pPr>
        <w:pStyle w:val="Contenudetableau"/>
        <w:rPr>
          <w:sz w:val="21"/>
          <w:szCs w:val="21"/>
        </w:rPr>
      </w:pPr>
      <w:r>
        <w:rPr>
          <w:sz w:val="21"/>
          <w:szCs w:val="21"/>
        </w:rPr>
      </w:r>
    </w:p>
    <w:p>
      <w:pPr>
        <w:pStyle w:val="Contenudetableau"/>
        <w:spacing w:before="0" w:after="120"/>
        <w:rPr/>
      </w:pPr>
      <w:r>
        <w:rPr>
          <w:rFonts w:cs="Calibri" w:ascii="Calibri" w:hAnsi="Calibri"/>
          <w:color w:val="000000"/>
          <w:sz w:val="21"/>
          <w:szCs w:val="21"/>
        </w:rPr>
        <w:t xml:space="preserve"/>
      </w:r>
    </w:p>
    <w:tbl>
      <w:tblPr>
        <w:tblW w:w="10200" w:type="dxa"/>
        <w:jc w:val="left"/>
        <w:tblInd w:w="0" w:type="dxa"/>
        <w:tblLayout w:type="fixed"/>
        <w:tblCellMar>
          <w:top w:w="0" w:type="dxa"/>
          <w:left w:w="2" w:type="dxa"/>
          <w:bottom w:w="57" w:type="dxa"/>
          <w:right w:w="0" w:type="dxa"/>
        </w:tblCellMar>
        <w:tblLook w:val="04a0" w:noHBand="0" w:noVBand="1" w:firstColumn="1" w:lastRow="0" w:lastColumn="0" w:firstRow="1"/>
      </w:tblPr>
      <w:tblGrid>
        <w:gridCol w:w="4137"/>
        <w:gridCol w:w="3230"/>
        <w:gridCol w:w="2833"/>
      </w:tblGrid>
      <w:tr>
        <w:trPr>
          <w:trHeight w:val="333" w:hRule="atLeast"/>
        </w:trPr>
        <w:tc>
          <w:tcPr>
            <w:tcW w:w="4137"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b/>
                <w:bCs/>
                <w:color w:val="002060"/>
                <w:sz w:val="22"/>
                <w:szCs w:val="22"/>
              </w:rPr>
              <w:t xml:space="preserve">GROUPE AG2R LA MONDIALE (PROTECTION SOCIALE  PATRIMONIALE)</w:t>
            </w:r>
          </w:p>
        </w:tc>
        <w:tc>
          <w:tcPr>
            <w:tcW w:w="3230"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Octobre 2015 – octobre 2017</w:t>
            </w:r>
          </w:p>
        </w:tc>
        <w:tc>
          <w:tcPr>
            <w:tcW w:w="2833" w:type="dxa"/>
            <w:tcBorders>
              <w:top w:val="single" w:sz="2" w:space="0" w:color="FFFFFF"/>
              <w:left w:val="single" w:sz="2" w:space="0" w:color="FFFFFF"/>
              <w:bottom w:val="single" w:sz="2" w:space="0" w:color="000000"/>
              <w:right w:val="single" w:sz="2" w:space="0" w:color="FFFFFF"/>
            </w:tcBorders>
          </w:tcPr>
          <w:p>
            <w:pPr>
              <w:pStyle w:val="Contenudetableau"/>
              <w:jc w:val="center"/>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(2 ans</w:t>
            </w:r>
            <w:r>
              <w:rPr>
                <w:rFonts w:cs="Calibri" w:ascii="Calibri" w:hAnsi="Calibri" w:asciiTheme="minorHAnsi" w:cstheme="minorHAnsi" w:hAnsiTheme="minorHAnsi"/>
                <w:color w:val="002060"/>
                <w:sz w:val="22"/>
                <w:szCs w:val="22"/>
              </w:rPr>
              <w:t>)</w:t>
            </w:r>
          </w:p>
        </w:tc>
      </w:tr>
    </w:tbl>
    <w:p>
      <w:pPr>
        <w:pStyle w:val="Normal"/>
        <w:rPr/>
      </w:pPr>
      <w:r>
        <w:rPr/>
      </w:r>
    </w:p>
    <w:tbl>
      <w:tblPr>
        <w:tblW w:w="10200"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cs="Calibri" w:cstheme="minorHAnsi"/>
                <w:sz w:val="22"/>
                <w:szCs w:val="22"/>
              </w:rPr>
            </w:pPr>
            <w:r>
              <w:rPr>
                <w:rFonts w:cs="Calibri" w:cstheme="minorHAnsi"/>
                <w:b/>
                <w:bCs/>
                <w:color w:val="002060"/>
                <w:sz w:val="22"/>
                <w:szCs w:val="22"/>
              </w:rPr>
              <w:t xml:space="preserve">Ingénieur Middleware – Expert Infrastructures Java EE</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rPr>
                <w:rFonts w:ascii="Callibri" w:hAnsi="Callibri"/>
              </w:rPr>
            </w:pP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Conception d’architectures techniques Java EE (phase test → livrables)</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Industrialisation du socle WebSphere AS 8.5, définition de bonnes pratiques, MCO  incidents N3</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Participation au choix de l’outil APM (Dynatrace)</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Définition  industrialisation du socle serveur d’applications cible</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Industrialisation d’un socle Apache  Tomcat sous Docker, installation d’Ansible  création de rôles/playbooks</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Étude d’outils IaC (Terraform)</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p>
            <w:pPr>
              <w:pStyle w:val="BodyText"/>
              <w:spacing w:before="0" w:after="120"/>
              <w:rPr>
                <w:rFonts w:ascii="Clibri" w:hAnsi="Clibri"/>
                <w:color w:val="002060"/>
                <w:sz w:val="20"/>
                <w:szCs w:val="20"/>
              </w:rPr>
            </w:pPr>
            <w:r>
              <w:rPr>
                <w:rFonts w:cs="Calibri" w:cstheme="minorHAnsi"/>
                <w:b/>
                <w:bCs/>
                <w:color w:val="002060"/>
                <w:sz w:val="22"/>
                <w:szCs w:val="22"/>
                <w:u w:val="single"/>
              </w:rPr>
              <w:t>Outils</w:t>
            </w:r>
            <w:r>
              <w:rPr>
                <w:rFonts w:ascii="Clibri" w:hAnsi="Clibri"/>
                <w:b/>
                <w:bCs/>
                <w:color w:val="002060"/>
                <w:sz w:val="20"/>
                <w:szCs w:val="20"/>
              </w:rPr>
              <w:t xml:space="preserve"> : </w:t>
            </w:r>
            <w:r>
              <w:rPr>
                <w:rFonts w:cs="Calibri" w:cstheme="minorHAnsi"/>
                <w:b/>
                <w:bCs/>
                <w:color w:val="002060"/>
                <w:sz w:val="22"/>
                <w:szCs w:val="22"/>
              </w:rPr>
              <w:t xml:space="preserve">Linux Red Hat 7.3, Docker, ELK, Ansible 2.2, Terraform, AWS, Infoblox, F5 LTM, WebSphere AS 8.0/8.5, JBoss EAP</w:t>
            </w:r>
          </w:p>
        </w:tc>
      </w:tr>
    </w:tbl>
    <w:p>
      <w:pPr>
        <w:pStyle w:val="Contenudetableau"/>
        <w:rPr>
          <w:sz w:val="21"/>
          <w:szCs w:val="21"/>
        </w:rPr>
      </w:pPr>
      <w:r>
        <w:rPr>
          <w:sz w:val="21"/>
          <w:szCs w:val="21"/>
        </w:rPr>
      </w:r>
    </w:p>
    <w:p>
      <w:pPr>
        <w:pStyle w:val="Contenudetableau"/>
        <w:spacing w:before="0" w:after="120"/>
        <w:rPr/>
      </w:pPr>
      <w:r>
        <w:rPr>
          <w:rFonts w:cs="Calibri" w:ascii="Calibri" w:hAnsi="Calibri"/>
          <w:color w:val="000000"/>
          <w:sz w:val="21"/>
          <w:szCs w:val="21"/>
        </w:rPr>
        <w:t xml:space="preserve"/>
      </w:r>
    </w:p>
    <w:tbl>
      <w:tblPr>
        <w:tblW w:w="10200" w:type="dxa"/>
        <w:jc w:val="left"/>
        <w:tblInd w:w="0" w:type="dxa"/>
        <w:tblLayout w:type="fixed"/>
        <w:tblCellMar>
          <w:top w:w="0" w:type="dxa"/>
          <w:left w:w="2" w:type="dxa"/>
          <w:bottom w:w="57" w:type="dxa"/>
          <w:right w:w="0" w:type="dxa"/>
        </w:tblCellMar>
        <w:tblLook w:val="04a0" w:noHBand="0" w:noVBand="1" w:firstColumn="1" w:lastRow="0" w:lastColumn="0" w:firstRow="1"/>
      </w:tblPr>
      <w:tblGrid>
        <w:gridCol w:w="4137"/>
        <w:gridCol w:w="3230"/>
        <w:gridCol w:w="2833"/>
      </w:tblGrid>
      <w:tr>
        <w:trPr>
          <w:trHeight w:val="333" w:hRule="atLeast"/>
        </w:trPr>
        <w:tc>
          <w:tcPr>
            <w:tcW w:w="4137"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b/>
                <w:bCs/>
                <w:color w:val="002060"/>
                <w:sz w:val="22"/>
                <w:szCs w:val="22"/>
              </w:rPr>
              <w:t xml:space="preserve">BPI FRANCE FINANCEMENT (EX‑OSÉO) – BANQUE PUBLIQUE D’INVESTISSEMENT</w:t>
            </w:r>
          </w:p>
        </w:tc>
        <w:tc>
          <w:tcPr>
            <w:tcW w:w="3230"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Février 2013 – septembre 2015</w:t>
            </w:r>
          </w:p>
        </w:tc>
        <w:tc>
          <w:tcPr>
            <w:tcW w:w="2833" w:type="dxa"/>
            <w:tcBorders>
              <w:top w:val="single" w:sz="2" w:space="0" w:color="FFFFFF"/>
              <w:left w:val="single" w:sz="2" w:space="0" w:color="FFFFFF"/>
              <w:bottom w:val="single" w:sz="2" w:space="0" w:color="000000"/>
              <w:right w:val="single" w:sz="2" w:space="0" w:color="FFFFFF"/>
            </w:tcBorders>
          </w:tcPr>
          <w:p>
            <w:pPr>
              <w:pStyle w:val="Contenudetableau"/>
              <w:jc w:val="center"/>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(2 ans et 7 mois</w:t>
            </w:r>
            <w:r>
              <w:rPr>
                <w:rFonts w:cs="Calibri" w:ascii="Calibri" w:hAnsi="Calibri" w:asciiTheme="minorHAnsi" w:cstheme="minorHAnsi" w:hAnsiTheme="minorHAnsi"/>
                <w:color w:val="002060"/>
                <w:sz w:val="22"/>
                <w:szCs w:val="22"/>
              </w:rPr>
              <w:t>)</w:t>
            </w:r>
          </w:p>
        </w:tc>
      </w:tr>
    </w:tbl>
    <w:p>
      <w:pPr>
        <w:pStyle w:val="Normal"/>
        <w:rPr/>
      </w:pPr>
      <w:r>
        <w:rPr/>
      </w:r>
    </w:p>
    <w:tbl>
      <w:tblPr>
        <w:tblW w:w="10200"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cs="Calibri" w:cstheme="minorHAnsi"/>
                <w:sz w:val="22"/>
                <w:szCs w:val="22"/>
              </w:rPr>
            </w:pPr>
            <w:r>
              <w:rPr>
                <w:rFonts w:cs="Calibri" w:cstheme="minorHAnsi"/>
                <w:b/>
                <w:bCs/>
                <w:color w:val="002060"/>
                <w:sz w:val="22"/>
                <w:szCs w:val="22"/>
              </w:rPr>
              <w:t xml:space="preserve">Ingénieur Middleware – Expert WebSphere Application Server</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rPr>
                <w:rFonts w:ascii="Callibri" w:hAnsi="Callibri"/>
              </w:rPr>
            </w:pP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Maintenance technique de la plateforme WebSphere, suivi de son évolution</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Études d’architecture technique autour de WebSphere</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Assistance aux équipes projets, tests de métrologie, migration FileNet P8 4.5.1 → 5.2</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p>
            <w:pPr>
              <w:pStyle w:val="BodyText"/>
              <w:spacing w:before="0" w:after="120"/>
              <w:rPr>
                <w:rFonts w:ascii="Clibri" w:hAnsi="Clibri"/>
                <w:color w:val="002060"/>
                <w:sz w:val="20"/>
                <w:szCs w:val="20"/>
              </w:rPr>
            </w:pPr>
            <w:r>
              <w:rPr>
                <w:rFonts w:cs="Calibri" w:cstheme="minorHAnsi"/>
                <w:b/>
                <w:bCs/>
                <w:color w:val="002060"/>
                <w:sz w:val="22"/>
                <w:szCs w:val="22"/>
                <w:u w:val="single"/>
              </w:rPr>
              <w:t>Outils</w:t>
            </w:r>
            <w:r>
              <w:rPr>
                <w:rFonts w:ascii="Clibri" w:hAnsi="Clibri"/>
                <w:b/>
                <w:bCs/>
                <w:color w:val="002060"/>
                <w:sz w:val="20"/>
                <w:szCs w:val="20"/>
              </w:rPr>
              <w:t xml:space="preserve"> : </w:t>
            </w:r>
            <w:r>
              <w:rPr>
                <w:rFonts w:cs="Calibri" w:cstheme="minorHAnsi"/>
                <w:b/>
                <w:bCs/>
                <w:color w:val="002060"/>
                <w:sz w:val="22"/>
                <w:szCs w:val="22"/>
              </w:rPr>
              <w:t xml:space="preserve">Linux 2.6, Windows 2008 R3, LDAP, IHS, WebSphere AS 6.1/8.0/8.5, FileNet P8 4.5.1  5.2, DataPower XI50, Jenkins, WSO2 ESB, Oracle 11g, DB2 9.7</w:t>
            </w:r>
          </w:p>
        </w:tc>
      </w:tr>
    </w:tbl>
    <w:p>
      <w:pPr>
        <w:pStyle w:val="Contenudetableau"/>
        <w:rPr>
          <w:sz w:val="21"/>
          <w:szCs w:val="21"/>
        </w:rPr>
      </w:pPr>
      <w:r>
        <w:rPr>
          <w:sz w:val="21"/>
          <w:szCs w:val="21"/>
        </w:rPr>
      </w:r>
    </w:p>
    <w:p>
      <w:pPr>
        <w:pStyle w:val="Contenudetableau"/>
        <w:spacing w:before="0" w:after="120"/>
        <w:rPr/>
      </w:pPr>
      <w:r>
        <w:rPr>
          <w:rFonts w:cs="Calibri" w:ascii="Calibri" w:hAnsi="Calibri"/>
          <w:color w:val="000000"/>
          <w:sz w:val="21"/>
          <w:szCs w:val="21"/>
        </w:rPr>
        <w:t xml:space="preserve"/>
      </w:r>
    </w:p>
    <w:tbl>
      <w:tblPr>
        <w:tblW w:w="10200" w:type="dxa"/>
        <w:jc w:val="left"/>
        <w:tblInd w:w="0" w:type="dxa"/>
        <w:tblLayout w:type="fixed"/>
        <w:tblCellMar>
          <w:top w:w="0" w:type="dxa"/>
          <w:left w:w="2" w:type="dxa"/>
          <w:bottom w:w="57" w:type="dxa"/>
          <w:right w:w="0" w:type="dxa"/>
        </w:tblCellMar>
        <w:tblLook w:val="04a0" w:noHBand="0" w:noVBand="1" w:firstColumn="1" w:lastRow="0" w:lastColumn="0" w:firstRow="1"/>
      </w:tblPr>
      <w:tblGrid>
        <w:gridCol w:w="4137"/>
        <w:gridCol w:w="3230"/>
        <w:gridCol w:w="2833"/>
      </w:tblGrid>
      <w:tr>
        <w:trPr>
          <w:trHeight w:val="333" w:hRule="atLeast"/>
        </w:trPr>
        <w:tc>
          <w:tcPr>
            <w:tcW w:w="4137"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b/>
                <w:bCs/>
                <w:color w:val="002060"/>
                <w:sz w:val="22"/>
                <w:szCs w:val="22"/>
              </w:rPr>
              <w:t xml:space="preserve">TCS (TOURING CLUB SUISSE)</w:t>
            </w:r>
          </w:p>
        </w:tc>
        <w:tc>
          <w:tcPr>
            <w:tcW w:w="3230"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Septembre 2012 – décembre 2012</w:t>
            </w:r>
          </w:p>
        </w:tc>
        <w:tc>
          <w:tcPr>
            <w:tcW w:w="2833" w:type="dxa"/>
            <w:tcBorders>
              <w:top w:val="single" w:sz="2" w:space="0" w:color="FFFFFF"/>
              <w:left w:val="single" w:sz="2" w:space="0" w:color="FFFFFF"/>
              <w:bottom w:val="single" w:sz="2" w:space="0" w:color="000000"/>
              <w:right w:val="single" w:sz="2" w:space="0" w:color="FFFFFF"/>
            </w:tcBorders>
          </w:tcPr>
          <w:p>
            <w:pPr>
              <w:pStyle w:val="Contenudetableau"/>
              <w:jc w:val="center"/>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(4 mois</w:t>
            </w:r>
            <w:r>
              <w:rPr>
                <w:rFonts w:cs="Calibri" w:ascii="Calibri" w:hAnsi="Calibri" w:asciiTheme="minorHAnsi" w:cstheme="minorHAnsi" w:hAnsiTheme="minorHAnsi"/>
                <w:color w:val="002060"/>
                <w:sz w:val="22"/>
                <w:szCs w:val="22"/>
              </w:rPr>
              <w:t>)</w:t>
            </w:r>
          </w:p>
        </w:tc>
      </w:tr>
    </w:tbl>
    <w:p>
      <w:pPr>
        <w:pStyle w:val="Normal"/>
        <w:rPr/>
      </w:pPr>
      <w:r>
        <w:rPr/>
      </w:r>
    </w:p>
    <w:tbl>
      <w:tblPr>
        <w:tblW w:w="10200"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cs="Calibri" w:cstheme="minorHAnsi"/>
                <w:sz w:val="22"/>
                <w:szCs w:val="22"/>
              </w:rPr>
            </w:pPr>
            <w:r>
              <w:rPr>
                <w:rFonts w:cs="Calibri" w:cstheme="minorHAnsi"/>
                <w:b/>
                <w:bCs/>
                <w:color w:val="002060"/>
                <w:sz w:val="22"/>
                <w:szCs w:val="22"/>
              </w:rPr>
              <w:t xml:space="preserve">Consultant JEE – Expert Gamme WebSphere</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rPr>
                <w:rFonts w:ascii="Callibri" w:hAnsi="Callibri"/>
              </w:rPr>
            </w:pP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Audit technique des installations WebSphere AS  WebSphere ESB existantes</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Préconisations de migration (WS AS 5→7, 6→7, Windows→Linux)</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Tuning de l’infrastructure WebSphere ESB 6, tests de montée en charge, recommandations d’installation  d’exploitabilité</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p>
            <w:pPr>
              <w:pStyle w:val="BodyText"/>
              <w:spacing w:before="0" w:after="120"/>
              <w:rPr>
                <w:rFonts w:ascii="Clibri" w:hAnsi="Clibri"/>
                <w:color w:val="002060"/>
                <w:sz w:val="20"/>
                <w:szCs w:val="20"/>
              </w:rPr>
            </w:pPr>
            <w:r>
              <w:rPr>
                <w:rFonts w:cs="Calibri" w:cstheme="minorHAnsi"/>
                <w:b/>
                <w:bCs/>
                <w:color w:val="002060"/>
                <w:sz w:val="22"/>
                <w:szCs w:val="22"/>
                <w:u w:val="single"/>
              </w:rPr>
              <w:t>Outils</w:t>
            </w:r>
            <w:r>
              <w:rPr>
                <w:rFonts w:ascii="Clibri" w:hAnsi="Clibri"/>
                <w:b/>
                <w:bCs/>
                <w:color w:val="002060"/>
                <w:sz w:val="20"/>
                <w:szCs w:val="20"/>
              </w:rPr>
              <w:t xml:space="preserve"> : </w:t>
            </w:r>
            <w:r>
              <w:rPr>
                <w:rFonts w:cs="Calibri" w:cstheme="minorHAnsi"/>
                <w:b/>
                <w:bCs/>
                <w:color w:val="002060"/>
                <w:sz w:val="22"/>
                <w:szCs w:val="22"/>
              </w:rPr>
              <w:t xml:space="preserve">Linux 2.6, Windows 2000 Server, LDAP, IHS, WebSphere AS 5.1/6.1/7.1, WebSphere ESB 6.1, DataPower, DB2 9.7</w:t>
            </w:r>
          </w:p>
        </w:tc>
      </w:tr>
    </w:tbl>
    <w:p>
      <w:pPr>
        <w:pStyle w:val="Contenudetableau"/>
        <w:rPr>
          <w:sz w:val="21"/>
          <w:szCs w:val="21"/>
        </w:rPr>
      </w:pPr>
      <w:r>
        <w:rPr>
          <w:sz w:val="21"/>
          <w:szCs w:val="21"/>
        </w:rPr>
      </w:r>
    </w:p>
    <w:p>
      <w:pPr>
        <w:pStyle w:val="Contenudetableau"/>
        <w:spacing w:before="0" w:after="120"/>
        <w:rPr/>
      </w:pPr>
      <w:r>
        <w:rPr>
          <w:rFonts w:cs="Calibri" w:ascii="Calibri" w:hAnsi="Calibri"/>
          <w:color w:val="000000"/>
          <w:sz w:val="21"/>
          <w:szCs w:val="21"/>
        </w:rPr>
        <w:t xml:space="preserve"/>
      </w:r>
    </w:p>
    <w:tbl>
      <w:tblPr>
        <w:tblW w:w="10200" w:type="dxa"/>
        <w:jc w:val="left"/>
        <w:tblInd w:w="0" w:type="dxa"/>
        <w:tblLayout w:type="fixed"/>
        <w:tblCellMar>
          <w:top w:w="0" w:type="dxa"/>
          <w:left w:w="2" w:type="dxa"/>
          <w:bottom w:w="57" w:type="dxa"/>
          <w:right w:w="0" w:type="dxa"/>
        </w:tblCellMar>
        <w:tblLook w:val="04a0" w:noHBand="0" w:noVBand="1" w:firstColumn="1" w:lastRow="0" w:lastColumn="0" w:firstRow="1"/>
      </w:tblPr>
      <w:tblGrid>
        <w:gridCol w:w="4137"/>
        <w:gridCol w:w="3230"/>
        <w:gridCol w:w="2833"/>
      </w:tblGrid>
      <w:tr>
        <w:trPr>
          <w:trHeight w:val="333" w:hRule="atLeast"/>
        </w:trPr>
        <w:tc>
          <w:tcPr>
            <w:tcW w:w="4137"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b/>
                <w:bCs/>
                <w:color w:val="002060"/>
                <w:sz w:val="22"/>
                <w:szCs w:val="22"/>
              </w:rPr>
              <w:t xml:space="preserve">LBP (LA BANQUE POSTALE) – DPI/MTD/IMD – INDUSTRIALISATION  INTÉGRATION</w:t>
            </w:r>
          </w:p>
        </w:tc>
        <w:tc>
          <w:tcPr>
            <w:tcW w:w="3230"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Avril 2010 – août 2012</w:t>
            </w:r>
          </w:p>
        </w:tc>
        <w:tc>
          <w:tcPr>
            <w:tcW w:w="2833" w:type="dxa"/>
            <w:tcBorders>
              <w:top w:val="single" w:sz="2" w:space="0" w:color="FFFFFF"/>
              <w:left w:val="single" w:sz="2" w:space="0" w:color="FFFFFF"/>
              <w:bottom w:val="single" w:sz="2" w:space="0" w:color="000000"/>
              <w:right w:val="single" w:sz="2" w:space="0" w:color="FFFFFF"/>
            </w:tcBorders>
          </w:tcPr>
          <w:p>
            <w:pPr>
              <w:pStyle w:val="Contenudetableau"/>
              <w:jc w:val="center"/>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(2 ans et 5 mois</w:t>
            </w:r>
            <w:r>
              <w:rPr>
                <w:rFonts w:cs="Calibri" w:ascii="Calibri" w:hAnsi="Calibri" w:asciiTheme="minorHAnsi" w:cstheme="minorHAnsi" w:hAnsiTheme="minorHAnsi"/>
                <w:color w:val="002060"/>
                <w:sz w:val="22"/>
                <w:szCs w:val="22"/>
              </w:rPr>
              <w:t>)</w:t>
            </w:r>
          </w:p>
        </w:tc>
      </w:tr>
    </w:tbl>
    <w:p>
      <w:pPr>
        <w:pStyle w:val="Normal"/>
        <w:rPr/>
      </w:pPr>
      <w:r>
        <w:rPr/>
      </w:r>
    </w:p>
    <w:tbl>
      <w:tblPr>
        <w:tblW w:w="10200"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cs="Calibri" w:cstheme="minorHAnsi"/>
                <w:sz w:val="22"/>
                <w:szCs w:val="22"/>
              </w:rPr>
            </w:pPr>
            <w:r>
              <w:rPr>
                <w:rFonts w:cs="Calibri" w:cstheme="minorHAnsi"/>
                <w:b/>
                <w:bCs/>
                <w:color w:val="002060"/>
                <w:sz w:val="22"/>
                <w:szCs w:val="22"/>
              </w:rPr>
              <w:t xml:space="preserve">Ingénieur Middleware – Expert WebSphere Application Server</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rPr>
                <w:rFonts w:ascii="Callibri" w:hAnsi="Callibri"/>
              </w:rPr>
            </w:pP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Support production  industrialisation des socles JEE (Cloud privé)</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Gestion incidents N3, suivi de la volumétrie, mise en place d’outils de suivi</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Normalisation  standardisation des processus d’installation des socles JEE</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Développement d’outils de déploiement (shell, Jython)</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Qualification des dernières versions WebSphere AS, étude  implémentation des nouveautés v7r0</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Étude d’architecture sécurisation des flux (transport  message) et implémentation dans WebSphere AS</w:t>
            </w: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Assistance  support technique aux équipes internes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p>
            <w:pPr>
              <w:pStyle w:val="BodyText"/>
              <w:spacing w:before="0" w:after="120"/>
              <w:rPr>
                <w:rFonts w:ascii="Clibri" w:hAnsi="Clibri"/>
                <w:color w:val="002060"/>
                <w:sz w:val="20"/>
                <w:szCs w:val="20"/>
              </w:rPr>
            </w:pPr>
            <w:r>
              <w:rPr>
                <w:rFonts w:cs="Calibri" w:cstheme="minorHAnsi"/>
                <w:b/>
                <w:bCs/>
                <w:color w:val="002060"/>
                <w:sz w:val="22"/>
                <w:szCs w:val="22"/>
                <w:u w:val="single"/>
              </w:rPr>
              <w:t>Outils</w:t>
            </w:r>
            <w:r>
              <w:rPr>
                <w:rFonts w:ascii="Clibri" w:hAnsi="Clibri"/>
                <w:b/>
                <w:bCs/>
                <w:color w:val="002060"/>
                <w:sz w:val="20"/>
                <w:szCs w:val="20"/>
              </w:rPr>
              <w:t xml:space="preserve"> : </w:t>
            </w:r>
            <w:r>
              <w:rPr>
                <w:rFonts w:cs="Calibri" w:cstheme="minorHAnsi"/>
                <w:b/>
                <w:bCs/>
                <w:color w:val="002060"/>
                <w:sz w:val="22"/>
                <w:szCs w:val="22"/>
              </w:rPr>
              <w:t xml:space="preserve">AIX 4.3‑6.1, SunOS 5.8, Windows 2000/2003, Linux, Oracle 9i/10g/11g, LDAP, IHS, WebSphere AS 6  7, WebSphere Portal 6.1  6.2, WebSphere Process Server 6.1  6.2, DataPower, JBoss EAP 4, Mantis</w:t>
            </w:r>
          </w:p>
        </w:tc>
      </w:tr>
    </w:tbl>
    <w:p>
      <w:pPr>
        <w:pStyle w:val="Contenudetableau"/>
        <w:rPr>
          <w:sz w:val="21"/>
          <w:szCs w:val="21"/>
        </w:rPr>
      </w:pPr>
      <w:r>
        <w:rPr>
          <w:sz w:val="21"/>
          <w:szCs w:val="21"/>
        </w:rPr>
      </w:r>
    </w:p>
    <w:p>
      <w:pPr>
        <w:pStyle w:val="Contenudetableau"/>
        <w:spacing w:before="0" w:after="120"/>
        <w:rPr/>
      </w:pPr>
      <w:r>
        <w:rPr>
          <w:rFonts w:cs="Calibri" w:ascii="Calibri" w:hAnsi="Calibri"/>
          <w:color w:val="000000"/>
          <w:sz w:val="21"/>
          <w:szCs w:val="21"/>
        </w:rPr>
        <w:t xml:space="preserve"/>
      </w:r>
    </w:p>
    <w:tbl>
      <w:tblPr>
        <w:tblW w:w="10200" w:type="dxa"/>
        <w:jc w:val="left"/>
        <w:tblInd w:w="0" w:type="dxa"/>
        <w:tblLayout w:type="fixed"/>
        <w:tblCellMar>
          <w:top w:w="0" w:type="dxa"/>
          <w:left w:w="2" w:type="dxa"/>
          <w:bottom w:w="57" w:type="dxa"/>
          <w:right w:w="0" w:type="dxa"/>
        </w:tblCellMar>
        <w:tblLook w:val="04a0" w:noHBand="0" w:noVBand="1" w:firstColumn="1" w:lastRow="0" w:lastColumn="0" w:firstRow="1"/>
      </w:tblPr>
      <w:tblGrid>
        <w:gridCol w:w="4137"/>
        <w:gridCol w:w="3230"/>
        <w:gridCol w:w="2833"/>
      </w:tblGrid>
      <w:tr>
        <w:trPr>
          <w:trHeight w:val="333" w:hRule="atLeast"/>
        </w:trPr>
        <w:tc>
          <w:tcPr>
            <w:tcW w:w="4137"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b/>
                <w:bCs/>
                <w:color w:val="002060"/>
                <w:sz w:val="22"/>
                <w:szCs w:val="22"/>
              </w:rPr>
              <w:t xml:space="preserve">BNP PARIBAS – BNP REAL ESTATE</w:t>
            </w:r>
          </w:p>
        </w:tc>
        <w:tc>
          <w:tcPr>
            <w:tcW w:w="3230" w:type="dxa"/>
            <w:tcBorders>
              <w:top w:val="single" w:sz="2" w:space="0" w:color="FFFFFF"/>
              <w:left w:val="single" w:sz="2" w:space="0" w:color="FFFFFF"/>
              <w:bottom w:val="single" w:sz="2" w:space="0" w:color="000000"/>
            </w:tcBorders>
          </w:tcPr>
          <w:p>
            <w:pPr>
              <w:pStyle w:val="Contenudetableau"/>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Janvier 2010 (2 semaines)</w:t>
            </w:r>
          </w:p>
        </w:tc>
        <w:tc>
          <w:tcPr>
            <w:tcW w:w="2833" w:type="dxa"/>
            <w:tcBorders>
              <w:top w:val="single" w:sz="2" w:space="0" w:color="FFFFFF"/>
              <w:left w:val="single" w:sz="2" w:space="0" w:color="FFFFFF"/>
              <w:bottom w:val="single" w:sz="2" w:space="0" w:color="000000"/>
              <w:right w:val="single" w:sz="2" w:space="0" w:color="FFFFFF"/>
            </w:tcBorders>
          </w:tcPr>
          <w:p>
            <w:pPr>
              <w:pStyle w:val="Contenudetableau"/>
              <w:jc w:val="center"/>
              <w:rPr>
                <w:rFonts w:ascii="Calibri" w:hAnsi="Calibri" w:cs="Calibri" w:asciiTheme="minorHAnsi" w:cstheme="minorHAnsi" w:hAnsiTheme="minorHAnsi"/>
                <w:sz w:val="22"/>
                <w:szCs w:val="22"/>
              </w:rPr>
            </w:pPr>
            <w:r>
              <w:rPr>
                <w:rFonts w:cs="Calibri" w:ascii="Calibri" w:hAnsi="Calibri" w:asciiTheme="minorHAnsi" w:cstheme="minorHAnsi" w:hAnsiTheme="minorHAnsi"/>
                <w:color w:val="002060"/>
                <w:sz w:val="22"/>
                <w:szCs w:val="22"/>
              </w:rPr>
              <w:t xml:space="preserve">(2 semaines</w:t>
            </w:r>
            <w:r>
              <w:rPr>
                <w:rFonts w:cs="Calibri" w:ascii="Calibri" w:hAnsi="Calibri" w:asciiTheme="minorHAnsi" w:cstheme="minorHAnsi" w:hAnsiTheme="minorHAnsi"/>
                <w:color w:val="002060"/>
                <w:sz w:val="22"/>
                <w:szCs w:val="22"/>
              </w:rPr>
              <w:t>)</w:t>
            </w:r>
          </w:p>
        </w:tc>
      </w:tr>
    </w:tbl>
    <w:p>
      <w:pPr>
        <w:pStyle w:val="Normal"/>
        <w:rPr/>
      </w:pPr>
      <w:r>
        <w:rPr/>
      </w:r>
    </w:p>
    <w:tbl>
      <w:tblPr>
        <w:tblW w:w="10200" w:type="dxa"/>
        <w:jc w:val="left"/>
        <w:tblInd w:w="0" w:type="dxa"/>
        <w:tblLayout w:type="fixed"/>
        <w:tblCellMar>
          <w:top w:w="0" w:type="dxa"/>
          <w:left w:w="5" w:type="dxa"/>
          <w:bottom w:w="0" w:type="dxa"/>
          <w:right w:w="5" w:type="dxa"/>
        </w:tblCellMar>
        <w:tblLook w:val="04a0" w:noHBand="0" w:noVBand="1" w:firstColumn="1" w:lastRow="0" w:lastColumn="0" w:firstRow="1"/>
      </w:tblPr>
      <w:tblGrid>
        <w:gridCol w:w="10200"/>
      </w:tblGrid>
      <w:tr>
        <w:trPr>
          <w:trHeight w:val="388"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spacing w:before="0" w:after="120"/>
              <w:rPr>
                <w:rFonts w:cs="Calibri" w:cstheme="minorHAnsi"/>
                <w:sz w:val="22"/>
                <w:szCs w:val="22"/>
              </w:rPr>
            </w:pPr>
            <w:r>
              <w:rPr>
                <w:rFonts w:cs="Calibri" w:cstheme="minorHAnsi"/>
                <w:b/>
                <w:bCs/>
                <w:color w:val="002060"/>
                <w:sz w:val="22"/>
                <w:szCs w:val="22"/>
              </w:rPr>
              <w:t xml:space="preserve">Consultant WebSphere Application Server</w:t>
            </w:r>
          </w:p>
        </w:tc>
      </w:tr>
      <w:tr>
        <w:trPr>
          <w:trHeight w:val="269" w:hRule="atLeast"/>
        </w:trPr>
        <w:tc>
          <w:tcPr>
            <w:tcW w:w="10200" w:type="dxa"/>
            <w:tcBorders>
              <w:top w:val="single" w:sz="4" w:space="0" w:color="FFFFFF"/>
              <w:left w:val="single" w:sz="4" w:space="0" w:color="FFFFFF"/>
              <w:bottom w:val="single" w:sz="4" w:space="0" w:color="FFFFFF"/>
              <w:right w:val="single" w:sz="4" w:space="0" w:color="FFFFFF"/>
            </w:tcBorders>
          </w:tcPr>
          <w:p>
            <w:pPr>
              <w:pStyle w:val="BodyText"/>
              <w:rPr>
                <w:rFonts w:ascii="Callibri" w:hAnsi="Callibri"/>
              </w:rPr>
            </w:pPr>
            <w:r>
              <w:rPr>
                <w:rFonts w:ascii="Callibri" w:hAnsi="Callibri"/>
                <w:color w:val="000000"/>
                <w:sz w:val="21"/>
                <w:szCs w:val="21"/>
              </w:rPr>
              <w:t xml:space="preserve"/>
            </w:r>
          </w:p>
          <w:p>
            <w:pPr>
              <w:pStyle w:val="Contenudetableau"/>
              <w:numPr>
                <w:ilvl w:val="0"/>
                <w:numId w:val="3"/>
              </w:numPr>
              <w:rPr/>
            </w:pPr>
            <w:r>
              <w:rPr>
                <w:rFonts w:ascii="Callibri" w:hAnsi="Callibri"/>
                <w:color w:val="002060"/>
                <w:sz w:val="21"/>
                <w:szCs w:val="21"/>
              </w:rPr>
              <w:t xml:space="preserve">Audit technique des installations WebSphere AS existantes</w:t>
            </w:r>
            <w:r>
              <w:rPr>
                <w:rFonts w:ascii="Callibri" w:hAnsi="Callibri"/>
                <w:color w:val="000000"/>
                <w:sz w:val="21"/>
                <w:szCs w:val="21"/>
              </w:rPr>
              <w:t xml:space="preserve"/>
            </w:r>
          </w:p>
        </w:tc>
      </w:tr>
      <w:tr>
        <w:trPr>
          <w:trHeight w:val="269" w:hRule="atLeast"/>
        </w:trPr>
        <w:tc>
          <w:tcPr>
            <w:tcW w:w="10200" w:type="dxa"/>
            <w:tcBorders>
              <w:left w:val="single" w:sz="4" w:space="0" w:color="FFFFFF"/>
              <w:bottom w:val="single" w:sz="4" w:space="0" w:color="FFFFFF"/>
              <w:right w:val="single" w:sz="4" w:space="0" w:color="FFFFFF"/>
            </w:tcBorders>
          </w:tcPr>
          <w:p>
            <w:pPr>
              <w:pStyle w:val="Contenudetableau"/>
              <w:rPr/>
            </w:pPr>
            <w:r>
              <w:rPr/>
              <w:t xml:space="preserve"/>
            </w:r>
          </w:p>
          <w:p>
            <w:pPr>
              <w:pStyle w:val="BodyText"/>
              <w:spacing w:before="0" w:after="120"/>
              <w:rPr>
                <w:rFonts w:ascii="Clibri" w:hAnsi="Clibri"/>
                <w:color w:val="002060"/>
                <w:sz w:val="20"/>
                <w:szCs w:val="20"/>
              </w:rPr>
            </w:pPr>
            <w:r>
              <w:rPr>
                <w:rFonts w:cs="Calibri" w:cstheme="minorHAnsi"/>
                <w:b/>
                <w:bCs/>
                <w:color w:val="002060"/>
                <w:sz w:val="22"/>
                <w:szCs w:val="22"/>
                <w:u w:val="single"/>
              </w:rPr>
              <w:t>Outils</w:t>
            </w:r>
            <w:r>
              <w:rPr>
                <w:rFonts w:ascii="Clibri" w:hAnsi="Clibri"/>
                <w:b/>
                <w:bCs/>
                <w:color w:val="002060"/>
                <w:sz w:val="20"/>
                <w:szCs w:val="20"/>
              </w:rPr>
              <w:t xml:space="preserve"> : </w:t>
            </w:r>
            <w:r>
              <w:rPr>
                <w:rFonts w:cs="Calibri" w:cstheme="minorHAnsi"/>
                <w:b/>
                <w:bCs/>
                <w:color w:val="002060"/>
                <w:sz w:val="22"/>
                <w:szCs w:val="22"/>
              </w:rPr>
              <w:t xml:space="preserve">AIX 6, Oracle 10g, LDAP, IHS, WebSphere AS 6.1</w:t>
            </w:r>
          </w:p>
        </w:tc>
      </w:tr>
    </w:tbl>
    <w:p>
      <w:pPr>
        <w:pStyle w:val="Contenudetableau"/>
        <w:rPr>
          <w:sz w:val="21"/>
          <w:szCs w:val="21"/>
        </w:rPr>
      </w:pPr>
      <w:r>
        <w:rPr>
          <w:sz w:val="21"/>
          <w:szCs w:val="21"/>
        </w:rPr>
      </w:r>
    </w:p>
    <w:p>
      <w:pPr>
        <w:pStyle w:val="Contenudetableau"/>
        <w:spacing w:before="0" w:after="120"/>
        <w:rPr/>
      </w:pPr>
      <w:r>
        <w:rPr>
          <w:rFonts w:cs="Calibri" w:ascii="Calibri" w:hAnsi="Calibri"/>
          <w:color w:val="000000"/>
          <w:sz w:val="21"/>
          <w:szCs w:val="21"/>
        </w:rPr>
        <w:t xml:space="preserve"/>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709" w:right="748" w:gutter="0" w:header="283" w:top="851" w:footer="214" w:bottom="1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Open Sauce Sans Light">
    <w:charset w:val="01"/>
    <w:family w:val="roman"/>
    <w:pitch w:val="variable"/>
  </w:font>
  <w:font w:name="Callibri">
    <w:charset w:val="01"/>
    <w:family w:val="roman"/>
    <w:pitch w:val="variable"/>
  </w:font>
  <w:font w:name="Clibri">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7905" w:leader="none"/>
      </w:tabs>
      <w:jc w:val="center"/>
      <w:rPr>
        <w:rFonts w:ascii="Open Sauce Sans Light" w:hAnsi="Open Sauce Sans Light" w:cs="Arial"/>
        <w:bCs/>
        <w:color w:val="002060"/>
        <w:sz w:val="18"/>
        <w:szCs w:val="18"/>
      </w:rPr>
    </w:pPr>
    <w:r>
      <w:rPr>
        <w:rFonts w:cs="Arial" w:ascii="Open Sauce Sans Light" w:hAnsi="Open Sauce Sans Light"/>
        <w:bCs/>
        <w:color w:val="002060"/>
        <w:sz w:val="18"/>
        <w:szCs w:val="18"/>
      </w:rPr>
      <w:t>NAVA ENGINEERING • 9-11 AVENUE MICHELET, 93400 SAINT-OUEN-SUR-SEINE</w:t>
    </w:r>
  </w:p>
  <w:p>
    <w:pPr>
      <w:pStyle w:val="Footer"/>
      <w:jc w:val="center"/>
      <w:rPr>
        <w:rFonts w:ascii="Open Sauce Sans Light" w:hAnsi="Open Sauce Sans Light" w:cs="Arial"/>
        <w:bCs/>
        <w:color w:val="002060"/>
        <w:sz w:val="16"/>
        <w:szCs w:val="16"/>
        <w:lang w:val="it-IT"/>
      </w:rPr>
    </w:pPr>
    <w:r>
      <w:rPr>
        <w:rFonts w:cs="Arial" w:ascii="Open Sauce Sans Light" w:hAnsi="Open Sauce Sans Light"/>
        <w:bCs/>
        <w:color w:val="002060"/>
        <w:sz w:val="16"/>
        <w:szCs w:val="16"/>
        <w:lang w:val="it-IT"/>
      </w:rPr>
      <w:t xml:space="preserve">Simon ZANA • 06 13 53 23 81 • </w:t>
    </w:r>
    <w:r>
      <mc:AlternateContent>
        <mc:Choice Requires="wps">
          <w:drawing>
            <wp:anchor behindDoc="1" distT="1270" distB="0" distL="1270" distR="0" simplePos="0" locked="0" layoutInCell="0" allowOverlap="1" relativeHeight="3">
              <wp:simplePos x="0" y="0"/>
              <wp:positionH relativeFrom="page">
                <wp:posOffset>3596640</wp:posOffset>
              </wp:positionH>
              <wp:positionV relativeFrom="page">
                <wp:posOffset>9914255</wp:posOffset>
              </wp:positionV>
              <wp:extent cx="363855" cy="320675"/>
              <wp:effectExtent l="635" t="635" r="0" b="0"/>
              <wp:wrapNone/>
              <wp:docPr id="15" name="Organigramme : Alternative 1"/>
              <a:graphic xmlns:a="http://schemas.openxmlformats.org/drawingml/2006/main">
                <a:graphicData uri="http://schemas.microsoft.com/office/word/2010/wordprocessingShape">
                  <wps:wsp>
                    <wps:cNvSpPr/>
                    <wps:spPr>
                      <a:xfrm>
                        <a:off x="0" y="0"/>
                        <a:ext cx="363960" cy="320760"/>
                      </a:xfrm>
                      <a:prstGeom prst="flowChartAlternateProcess">
                        <a:avLst/>
                      </a:prstGeom>
                      <a:solidFill>
                        <a:srgbClr val="02466d"/>
                      </a:solidFill>
                      <a:ln w="0">
                        <a:noFill/>
                      </a:ln>
                    </wps:spPr>
                    <wps:style>
                      <a:lnRef idx="0"/>
                      <a:fillRef idx="0"/>
                      <a:effectRef idx="0"/>
                      <a:fontRef idx="minor"/>
                    </wps:style>
                    <wps:txbx>
                      <w:txbxContent>
                        <w:p>
                          <w:pPr>
                            <w:pStyle w:val="Contenudecadre"/>
                            <w:jc w:val="center"/>
                            <w:rPr>
                              <w:color w:val="FFFFFF"/>
                              <w:sz w:val="28"/>
                              <w:szCs w:val="28"/>
                            </w:rPr>
                          </w:pPr>
                          <w:hyperlink r:id="rId1">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wps:txbx>
                    <wps:bodyPr anchor="b">
                      <a:noAutofit/>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Organigramme : Alternative 1" fillcolor="#02466d" stroked="f" o:allowincell="f" style="position:absolute;margin-left:283.2pt;margin-top:780.65pt;width:28.6pt;height:25.2pt;mso-wrap-style:square;v-text-anchor:bottom;mso-position-horizontal-relative:page;mso-position-vertical-relative:page" type="_x0000_t176">
              <v:fill o:detectmouseclick="t" type="solid" color2="#fdb992"/>
              <v:stroke color="#3465a4" joinstyle="round" endcap="flat"/>
              <v:textbox>
                <w:txbxContent>
                  <w:p>
                    <w:pPr>
                      <w:pStyle w:val="Contenudecadre"/>
                      <w:jc w:val="center"/>
                      <w:rPr>
                        <w:color w:val="FFFFFF"/>
                        <w:sz w:val="28"/>
                        <w:szCs w:val="28"/>
                      </w:rPr>
                    </w:pPr>
                    <w:hyperlink r:id="rId2">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v:textbox>
              <w10:wrap type="none"/>
            </v:shape>
          </w:pict>
        </mc:Fallback>
      </mc:AlternateContent>
    </w:r>
    <w:r>
      <w:rPr>
        <w:rStyle w:val="Hyperlink"/>
        <w:rFonts w:eastAsia="" w:cs="Arial" w:ascii="Open Sauce Sans Light" w:hAnsi="Open Sauce Sans Light" w:eastAsiaTheme="majorEastAsia"/>
        <w:bCs/>
        <w:color w:val="002060"/>
        <w:sz w:val="16"/>
        <w:szCs w:val="16"/>
        <w:lang w:val="it-IT"/>
      </w:rPr>
      <w:t>simon.zana@nava-eng.com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lear" w:pos="9072"/>
        <w:tab w:val="left" w:pos="7905" w:leader="none"/>
      </w:tabs>
      <w:jc w:val="center"/>
      <w:rPr>
        <w:rFonts w:ascii="Open Sauce Sans Light" w:hAnsi="Open Sauce Sans Light" w:cs="Arial"/>
        <w:bCs/>
        <w:color w:val="002060"/>
        <w:sz w:val="18"/>
        <w:szCs w:val="18"/>
      </w:rPr>
    </w:pPr>
    <w:r>
      <w:rPr>
        <w:rFonts w:cs="Arial" w:ascii="Open Sauce Sans Light" w:hAnsi="Open Sauce Sans Light"/>
        <w:bCs/>
        <w:color w:val="002060"/>
        <w:sz w:val="18"/>
        <w:szCs w:val="18"/>
      </w:rPr>
      <w:t>NAVA ENGINEERING • 9-11 AVENUE MICHELET, 93400 SAINT-OUEN-SUR-SEINE</w:t>
    </w:r>
  </w:p>
  <w:p>
    <w:pPr>
      <w:pStyle w:val="Footer"/>
      <w:jc w:val="center"/>
      <w:rPr>
        <w:rFonts w:ascii="Open Sauce Sans Light" w:hAnsi="Open Sauce Sans Light" w:cs="Arial"/>
        <w:bCs/>
        <w:color w:val="002060"/>
        <w:sz w:val="16"/>
        <w:szCs w:val="16"/>
        <w:lang w:val="it-IT"/>
      </w:rPr>
    </w:pPr>
    <w:r>
      <w:rPr>
        <w:rFonts w:cs="Arial" w:ascii="Open Sauce Sans Light" w:hAnsi="Open Sauce Sans Light"/>
        <w:bCs/>
        <w:color w:val="002060"/>
        <w:sz w:val="16"/>
        <w:szCs w:val="16"/>
        <w:lang w:val="it-IT"/>
      </w:rPr>
      <w:t xml:space="preserve">Simon ZANA • 06 13 53 23 81 • </w:t>
    </w:r>
    <w:r>
      <mc:AlternateContent>
        <mc:Choice Requires="wps">
          <w:drawing>
            <wp:anchor behindDoc="1" distT="1270" distB="0" distL="1270" distR="0" simplePos="0" locked="0" layoutInCell="0" allowOverlap="1" relativeHeight="3">
              <wp:simplePos x="0" y="0"/>
              <wp:positionH relativeFrom="page">
                <wp:posOffset>3596640</wp:posOffset>
              </wp:positionH>
              <wp:positionV relativeFrom="page">
                <wp:posOffset>9914255</wp:posOffset>
              </wp:positionV>
              <wp:extent cx="363855" cy="320675"/>
              <wp:effectExtent l="635" t="635" r="0" b="0"/>
              <wp:wrapNone/>
              <wp:docPr id="16" name="Organigramme : Alternative 1"/>
              <a:graphic xmlns:a="http://schemas.openxmlformats.org/drawingml/2006/main">
                <a:graphicData uri="http://schemas.microsoft.com/office/word/2010/wordprocessingShape">
                  <wps:wsp>
                    <wps:cNvSpPr/>
                    <wps:spPr>
                      <a:xfrm>
                        <a:off x="0" y="0"/>
                        <a:ext cx="363960" cy="320760"/>
                      </a:xfrm>
                      <a:prstGeom prst="flowChartAlternateProcess">
                        <a:avLst/>
                      </a:prstGeom>
                      <a:solidFill>
                        <a:srgbClr val="02466d"/>
                      </a:solidFill>
                      <a:ln w="0">
                        <a:noFill/>
                      </a:ln>
                    </wps:spPr>
                    <wps:style>
                      <a:lnRef idx="0"/>
                      <a:fillRef idx="0"/>
                      <a:effectRef idx="0"/>
                      <a:fontRef idx="minor"/>
                    </wps:style>
                    <wps:txbx>
                      <w:txbxContent>
                        <w:p>
                          <w:pPr>
                            <w:pStyle w:val="Contenudecadre"/>
                            <w:jc w:val="center"/>
                            <w:rPr>
                              <w:color w:val="FFFFFF"/>
                              <w:sz w:val="28"/>
                              <w:szCs w:val="28"/>
                            </w:rPr>
                          </w:pPr>
                          <w:hyperlink r:id="rId1">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wps:txbx>
                    <wps:bodyPr anchor="b">
                      <a:noAutofit/>
                    </wps:bodyPr>
                  </wps:wsp>
                </a:graphicData>
              </a:graphic>
            </wp:anchor>
          </w:drawing>
        </mc:Choice>
        <mc:Fallback>
          <w:pict>
            <v:shape id="shape_0" ID="Organigramme : Alternative 1" fillcolor="#02466d" stroked="f" o:allowincell="f" style="position:absolute;margin-left:283.2pt;margin-top:780.65pt;width:28.6pt;height:25.2pt;mso-wrap-style:square;v-text-anchor:bottom;mso-position-horizontal-relative:page;mso-position-vertical-relative:page" type="_x0000_t176">
              <v:fill o:detectmouseclick="t" type="solid" color2="#fdb992"/>
              <v:stroke color="#3465a4" joinstyle="round" endcap="flat"/>
              <v:textbox>
                <w:txbxContent>
                  <w:p>
                    <w:pPr>
                      <w:pStyle w:val="Contenudecadre"/>
                      <w:jc w:val="center"/>
                      <w:rPr>
                        <w:color w:val="FFFFFF"/>
                        <w:sz w:val="28"/>
                        <w:szCs w:val="28"/>
                      </w:rPr>
                    </w:pPr>
                    <w:hyperlink r:id="rId2">
                      <w:r>
                        <w:rPr>
                          <w:rStyle w:val="Hyperlink"/>
                          <w:color w:val="FFFFFF"/>
                          <w:sz w:val="28"/>
                          <w:szCs w:val="28"/>
                        </w:rPr>
                        <w:fldChar w:fldCharType="begin"/>
                      </w:r>
                      <w:r>
                        <w:rPr>
                          <w:rStyle w:val="Hyperlink"/>
                          <w:sz w:val="28"/>
                          <w:szCs w:val="28"/>
                          <w:color w:val="FFFFFF"/>
                        </w:rPr>
                        <w:instrText xml:space="preserve"> PAGE </w:instrText>
                      </w:r>
                      <w:r>
                        <w:rPr>
                          <w:rStyle w:val="Hyperlink"/>
                          <w:sz w:val="28"/>
                          <w:szCs w:val="28"/>
                          <w:color w:val="FFFFFF"/>
                        </w:rPr>
                        <w:fldChar w:fldCharType="separate"/>
                      </w:r>
                      <w:r>
                        <w:rPr>
                          <w:rStyle w:val="Hyperlink"/>
                          <w:sz w:val="28"/>
                          <w:szCs w:val="28"/>
                          <w:color w:val="FFFFFF"/>
                        </w:rPr>
                        <w:t>1</w:t>
                      </w:r>
                      <w:r>
                        <w:rPr>
                          <w:rStyle w:val="Hyperlink"/>
                          <w:sz w:val="28"/>
                          <w:szCs w:val="28"/>
                          <w:color w:val="FFFFFF"/>
                        </w:rPr>
                        <w:fldChar w:fldCharType="end"/>
                      </w:r>
                    </w:hyperlink>
                  </w:p>
                </w:txbxContent>
              </v:textbox>
              <w10:wrap type="none"/>
            </v:shape>
          </w:pict>
        </mc:Fallback>
      </mc:AlternateContent>
    </w:r>
    <w:r>
      <w:rPr>
        <w:rStyle w:val="Hyperlink"/>
        <w:rFonts w:eastAsia="" w:cs="Arial" w:ascii="Open Sauce Sans Light" w:hAnsi="Open Sauce Sans Light" w:eastAsiaTheme="majorEastAsia"/>
        <w:bCs/>
        <w:color w:val="002060"/>
        <w:sz w:val="16"/>
        <w:szCs w:val="16"/>
        <w:lang w:val="it-IT"/>
      </w:rPr>
      <w:t>simon.zana@nava-eng.com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color w:val="002060"/>
        <w:sz w:val="34"/>
        <w:szCs w:val="34"/>
      </w:rPr>
    </w:pPr>
    <w:r>
      <w:drawing>
        <wp:anchor behindDoc="1" distT="0" distB="0" distL="0" distR="0" simplePos="0" locked="0" layoutInCell="0" allowOverlap="1" relativeHeight="2">
          <wp:simplePos x="0" y="0"/>
          <wp:positionH relativeFrom="column">
            <wp:posOffset>-417195</wp:posOffset>
          </wp:positionH>
          <wp:positionV relativeFrom="paragraph">
            <wp:posOffset>-157480</wp:posOffset>
          </wp:positionV>
          <wp:extent cx="1019810" cy="1032510"/>
          <wp:effectExtent l="0" t="0" r="0" b="0"/>
          <wp:wrapSquare wrapText="largest"/>
          <wp:docPr id="1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descr=""/>
                  <pic:cNvPicPr>
                    <a:picLocks noChangeAspect="1" noChangeArrowheads="1"/>
                  </pic:cNvPicPr>
                </pic:nvPicPr>
                <pic:blipFill>
                  <a:blip r:embed="rId1"/>
                  <a:srcRect l="6716" t="6596" r="7558" b="6596"/>
                  <a:stretch>
                    <a:fillRect/>
                  </a:stretch>
                </pic:blipFill>
                <pic:spPr bwMode="auto">
                  <a:xfrm>
                    <a:off x="0" y="0"/>
                    <a:ext cx="1019810" cy="1032510"/>
                  </a:xfrm>
                  <a:prstGeom prst="rect">
                    <a:avLst/>
                  </a:prstGeom>
                </pic:spPr>
              </pic:pic>
            </a:graphicData>
          </a:graphic>
        </wp:anchor>
      </w:drawing>
    </w:r>
    <w:r>
      <w:rPr>
        <w:rFonts w:cs="Calibri" w:ascii="Calibri" w:hAnsi="Calibri"/>
        <w:color w:val="002060"/>
        <w:sz w:val="34"/>
        <w:szCs w:val="32"/>
      </w:rPr>
      <w:t xml:space="preserve">KBO</w:t>
    </w:r>
  </w:p>
  <w:p>
    <w:pPr>
      <w:pStyle w:val="Normal"/>
      <w:jc w:val="right"/>
      <w:rPr>
        <w:rFonts w:ascii="Calibri" w:hAnsi="Calibri" w:cs="Calibri"/>
        <w:b/>
        <w:color w:val="002060"/>
        <w:sz w:val="40"/>
        <w:szCs w:val="40"/>
      </w:rPr>
    </w:pPr>
    <w:r>
      <w:rPr>
        <w:rFonts w:cs="Calibri" w:ascii="Calibri" w:hAnsi="Calibri"/>
        <w:b/>
        <w:color w:val="002060"/>
        <w:sz w:val="40"/>
        <w:szCs w:val="40"/>
      </w:rPr>
      <w:t xml:space="preserve">Ingénieur Automatisation – Expert Middleware et Infrastructures Java EE</w:t>
    </w:r>
  </w:p>
  <w:p>
    <w:pPr>
      <w:pStyle w:val="Normal"/>
      <w:jc w:val="right"/>
      <w:rPr>
        <w:rFonts w:ascii="Calibri" w:hAnsi="Calibri" w:cs="Calibri"/>
        <w:color w:val="002060"/>
        <w:sz w:val="28"/>
      </w:rPr>
    </w:pPr>
    <w:r>
      <w:rPr>
        <w:rFonts w:cs="Calibri" w:ascii="Calibri" w:hAnsi="Calibri"/>
        <w:color w:val="002060"/>
        <w:sz w:val="28"/>
      </w:rPr>
      <w:t xml:space="preserve">18 ans d'expériences</w:t>
    </w:r>
  </w:p>
  <w:p>
    <w:pPr>
      <w:pStyle w:val="Normal"/>
      <w:jc w:val="right"/>
      <w:rPr>
        <w:color w:val="002060"/>
        <w:sz w:val="34"/>
        <w:szCs w:val="34"/>
      </w:rPr>
    </w:pPr>
    <w:r>
      <w:rPr>
        <w:color w:val="002060"/>
        <w:sz w:val="34"/>
        <w:szCs w:val="3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color w:val="002060"/>
        <w:sz w:val="34"/>
        <w:szCs w:val="34"/>
      </w:rPr>
    </w:pPr>
    <w:r>
      <w:drawing>
        <wp:anchor behindDoc="1" distT="0" distB="0" distL="0" distR="0" simplePos="0" locked="0" layoutInCell="0" allowOverlap="1" relativeHeight="2">
          <wp:simplePos x="0" y="0"/>
          <wp:positionH relativeFrom="column">
            <wp:posOffset>-417195</wp:posOffset>
          </wp:positionH>
          <wp:positionV relativeFrom="paragraph">
            <wp:posOffset>-157480</wp:posOffset>
          </wp:positionV>
          <wp:extent cx="1019810" cy="1032510"/>
          <wp:effectExtent l="0" t="0" r="0" b="0"/>
          <wp:wrapSquare wrapText="largest"/>
          <wp:docPr id="1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pic:cNvPicPr>
                    <a:picLocks noChangeAspect="1" noChangeArrowheads="1"/>
                  </pic:cNvPicPr>
                </pic:nvPicPr>
                <pic:blipFill>
                  <a:blip r:embed="rId1"/>
                  <a:srcRect l="6716" t="6596" r="7558" b="6596"/>
                  <a:stretch>
                    <a:fillRect/>
                  </a:stretch>
                </pic:blipFill>
                <pic:spPr bwMode="auto">
                  <a:xfrm>
                    <a:off x="0" y="0"/>
                    <a:ext cx="1019810" cy="1032510"/>
                  </a:xfrm>
                  <a:prstGeom prst="rect">
                    <a:avLst/>
                  </a:prstGeom>
                </pic:spPr>
              </pic:pic>
            </a:graphicData>
          </a:graphic>
        </wp:anchor>
      </w:drawing>
    </w:r>
    <w:r>
      <w:rPr>
        <w:rFonts w:cs="Calibri" w:ascii="Calibri" w:hAnsi="Calibri"/>
        <w:color w:val="002060"/>
        <w:sz w:val="34"/>
        <w:szCs w:val="32"/>
      </w:rPr>
      <w:t xml:space="preserve">KBO</w:t>
    </w:r>
  </w:p>
  <w:p>
    <w:pPr>
      <w:pStyle w:val="Normal"/>
      <w:jc w:val="right"/>
      <w:rPr>
        <w:rFonts w:ascii="Calibri" w:hAnsi="Calibri" w:cs="Calibri"/>
        <w:b/>
        <w:color w:val="002060"/>
        <w:sz w:val="40"/>
        <w:szCs w:val="40"/>
      </w:rPr>
    </w:pPr>
    <w:r>
      <w:rPr>
        <w:rFonts w:cs="Calibri" w:ascii="Calibri" w:hAnsi="Calibri"/>
        <w:b/>
        <w:color w:val="002060"/>
        <w:sz w:val="40"/>
        <w:szCs w:val="40"/>
      </w:rPr>
      <w:t xml:space="preserve">Ingénieur Automatisation – Expert Middleware et Infrastructures Java EE</w:t>
    </w:r>
  </w:p>
  <w:p>
    <w:pPr>
      <w:pStyle w:val="Normal"/>
      <w:jc w:val="right"/>
      <w:rPr>
        <w:rFonts w:ascii="Calibri" w:hAnsi="Calibri" w:cs="Calibri"/>
        <w:color w:val="002060"/>
        <w:sz w:val="28"/>
      </w:rPr>
    </w:pPr>
    <w:r>
      <w:rPr>
        <w:rFonts w:cs="Calibri" w:ascii="Calibri" w:hAnsi="Calibri"/>
        <w:color w:val="002060"/>
        <w:sz w:val="28"/>
      </w:rPr>
      <w:t xml:space="preserve">18 ans d'expériences</w:t>
    </w:r>
  </w:p>
  <w:p>
    <w:pPr>
      <w:pStyle w:val="Normal"/>
      <w:jc w:val="right"/>
      <w:rPr>
        <w:color w:val="002060"/>
        <w:sz w:val="34"/>
        <w:szCs w:val="34"/>
      </w:rPr>
    </w:pPr>
    <w:r>
      <w:rPr>
        <w:color w:val="002060"/>
        <w:sz w:val="34"/>
        <w:szCs w:val="3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068" w:hanging="360"/>
      </w:pPr>
      <w:rPr>
        <w:rFonts w:ascii="Wingdings" w:hAnsi="Wingdings" w:cs="Wingdings"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2">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sz w:val="22"/>
        <w:szCs w:val="22"/>
      </w:rPr>
    </w:lvl>
    <w:lvl w:ilvl="1">
      <w:start w:val="1"/>
      <w:numFmt w:val="bullet"/>
      <w:lvlText w:val="◦"/>
      <w:lvlJc w:val="left"/>
      <w:pPr>
        <w:tabs>
          <w:tab w:val="num" w:pos="1080"/>
        </w:tabs>
        <w:ind w:left="1080" w:hanging="360"/>
      </w:pPr>
      <w:rPr>
        <w:rFonts w:ascii="OpenSymbol" w:hAnsi="OpenSymbol" w:cs="OpenSymbol" w:hint="default"/>
        <w:sz w:val="22"/>
        <w:szCs w:val="22"/>
      </w:rPr>
    </w:lvl>
    <w:lvl w:ilvl="2">
      <w:start w:val="1"/>
      <w:numFmt w:val="bullet"/>
      <w:lvlText w:val="▪"/>
      <w:lvlJc w:val="left"/>
      <w:pPr>
        <w:tabs>
          <w:tab w:val="num" w:pos="1440"/>
        </w:tabs>
        <w:ind w:left="1440" w:hanging="360"/>
      </w:pPr>
      <w:rPr>
        <w:rFonts w:ascii="OpenSymbol" w:hAnsi="OpenSymbol" w:cs="OpenSymbol" w:hint="default"/>
        <w:sz w:val="22"/>
        <w:szCs w:val="22"/>
      </w:rPr>
    </w:lvl>
    <w:lvl w:ilvl="3">
      <w:start w:val="1"/>
      <w:numFmt w:val="bullet"/>
      <w:lvlText w:val=""/>
      <w:lvlJc w:val="left"/>
      <w:pPr>
        <w:tabs>
          <w:tab w:val="num" w:pos="1800"/>
        </w:tabs>
        <w:ind w:left="1800" w:hanging="360"/>
      </w:pPr>
      <w:rPr>
        <w:rFonts w:ascii="Symbol" w:hAnsi="Symbol" w:cs="Symbol" w:hint="default"/>
        <w:sz w:val="22"/>
        <w:szCs w:val="22"/>
      </w:rPr>
    </w:lvl>
    <w:lvl w:ilvl="4">
      <w:start w:val="1"/>
      <w:numFmt w:val="bullet"/>
      <w:lvlText w:val="◦"/>
      <w:lvlJc w:val="left"/>
      <w:pPr>
        <w:tabs>
          <w:tab w:val="num" w:pos="2160"/>
        </w:tabs>
        <w:ind w:left="2160" w:hanging="360"/>
      </w:pPr>
      <w:rPr>
        <w:rFonts w:ascii="OpenSymbol" w:hAnsi="OpenSymbol" w:cs="OpenSymbol" w:hint="default"/>
        <w:sz w:val="22"/>
        <w:szCs w:val="22"/>
      </w:rPr>
    </w:lvl>
    <w:lvl w:ilvl="5">
      <w:start w:val="1"/>
      <w:numFmt w:val="bullet"/>
      <w:lvlText w:val="▪"/>
      <w:lvlJc w:val="left"/>
      <w:pPr>
        <w:tabs>
          <w:tab w:val="num" w:pos="2520"/>
        </w:tabs>
        <w:ind w:left="2520" w:hanging="360"/>
      </w:pPr>
      <w:rPr>
        <w:rFonts w:ascii="OpenSymbol" w:hAnsi="OpenSymbol" w:cs="OpenSymbol" w:hint="default"/>
        <w:sz w:val="22"/>
        <w:szCs w:val="22"/>
      </w:rPr>
    </w:lvl>
    <w:lvl w:ilvl="6">
      <w:start w:val="1"/>
      <w:numFmt w:val="bullet"/>
      <w:lvlText w:val=""/>
      <w:lvlJc w:val="left"/>
      <w:pPr>
        <w:tabs>
          <w:tab w:val="num" w:pos="2880"/>
        </w:tabs>
        <w:ind w:left="2880" w:hanging="360"/>
      </w:pPr>
      <w:rPr>
        <w:rFonts w:ascii="Symbol" w:hAnsi="Symbol" w:cs="Symbol" w:hint="default"/>
        <w:sz w:val="22"/>
        <w:szCs w:val="22"/>
      </w:rPr>
    </w:lvl>
    <w:lvl w:ilvl="7">
      <w:start w:val="1"/>
      <w:numFmt w:val="bullet"/>
      <w:lvlText w:val="◦"/>
      <w:lvlJc w:val="left"/>
      <w:pPr>
        <w:tabs>
          <w:tab w:val="num" w:pos="3240"/>
        </w:tabs>
        <w:ind w:left="3240" w:hanging="360"/>
      </w:pPr>
      <w:rPr>
        <w:rFonts w:ascii="OpenSymbol" w:hAnsi="OpenSymbol" w:cs="OpenSymbol" w:hint="default"/>
        <w:sz w:val="22"/>
        <w:szCs w:val="22"/>
      </w:rPr>
    </w:lvl>
    <w:lvl w:ilvl="8">
      <w:start w:val="1"/>
      <w:numFmt w:val="bullet"/>
      <w:lvlText w:val="▪"/>
      <w:lvlJc w:val="left"/>
      <w:pPr>
        <w:tabs>
          <w:tab w:val="num" w:pos="3600"/>
        </w:tabs>
        <w:ind w:left="3600" w:hanging="360"/>
      </w:pPr>
      <w:rPr>
        <w:rFonts w:ascii="OpenSymbol" w:hAnsi="OpenSymbol" w:cs="OpenSymbol" w:hint="default"/>
        <w:sz w:val="22"/>
        <w:szCs w:val="22"/>
      </w:rPr>
    </w:lvl>
  </w:abstractNum>
  <w:abstractNum w:abstractNumId="4">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Wingdings" w:hAnsi="Wingdings" w:cs="Wingdings" w:hint="default"/>
        <w:sz w:val="22"/>
        <w:szCs w:val="22"/>
      </w:rPr>
    </w:lvl>
    <w:lvl w:ilvl="1">
      <w:start w:val="1"/>
      <w:numFmt w:val="bullet"/>
      <w:lvlText w:val=""/>
      <w:lvlJc w:val="left"/>
      <w:pPr>
        <w:tabs>
          <w:tab w:val="num" w:pos="1080"/>
        </w:tabs>
        <w:ind w:left="1080" w:hanging="360"/>
      </w:pPr>
      <w:rPr>
        <w:rFonts w:ascii="Wingdings" w:hAnsi="Wingdings" w:cs="Wingdings" w:hint="default"/>
        <w:sz w:val="22"/>
        <w:szCs w:val="22"/>
      </w:rPr>
    </w:lvl>
    <w:lvl w:ilvl="2">
      <w:start w:val="1"/>
      <w:numFmt w:val="bullet"/>
      <w:lvlText w:val=""/>
      <w:lvlJc w:val="left"/>
      <w:pPr>
        <w:tabs>
          <w:tab w:val="num" w:pos="1440"/>
        </w:tabs>
        <w:ind w:left="1440" w:hanging="360"/>
      </w:pPr>
      <w:rPr>
        <w:rFonts w:ascii="Wingdings" w:hAnsi="Wingdings" w:cs="Wingdings" w:hint="default"/>
        <w:sz w:val="22"/>
        <w:szCs w:val="22"/>
      </w:rPr>
    </w:lvl>
    <w:lvl w:ilvl="3">
      <w:start w:val="1"/>
      <w:numFmt w:val="bullet"/>
      <w:lvlText w:val=""/>
      <w:lvlJc w:val="left"/>
      <w:pPr>
        <w:tabs>
          <w:tab w:val="num" w:pos="1800"/>
        </w:tabs>
        <w:ind w:left="1800" w:hanging="360"/>
      </w:pPr>
      <w:rPr>
        <w:rFonts w:ascii="Wingdings" w:hAnsi="Wingdings" w:cs="Wingdings" w:hint="default"/>
        <w:sz w:val="22"/>
        <w:szCs w:val="22"/>
      </w:rPr>
    </w:lvl>
    <w:lvl w:ilvl="4">
      <w:start w:val="1"/>
      <w:numFmt w:val="bullet"/>
      <w:lvlText w:val=""/>
      <w:lvlJc w:val="left"/>
      <w:pPr>
        <w:tabs>
          <w:tab w:val="num" w:pos="2160"/>
        </w:tabs>
        <w:ind w:left="2160" w:hanging="360"/>
      </w:pPr>
      <w:rPr>
        <w:rFonts w:ascii="Wingdings" w:hAnsi="Wingdings" w:cs="Wingdings" w:hint="default"/>
        <w:sz w:val="22"/>
        <w:szCs w:val="22"/>
      </w:rPr>
    </w:lvl>
    <w:lvl w:ilvl="5">
      <w:start w:val="1"/>
      <w:numFmt w:val="bullet"/>
      <w:lvlText w:val=""/>
      <w:lvlJc w:val="left"/>
      <w:pPr>
        <w:tabs>
          <w:tab w:val="num" w:pos="2520"/>
        </w:tabs>
        <w:ind w:left="2520" w:hanging="360"/>
      </w:pPr>
      <w:rPr>
        <w:rFonts w:ascii="Wingdings" w:hAnsi="Wingdings" w:cs="Wingdings" w:hint="default"/>
        <w:sz w:val="22"/>
        <w:szCs w:val="22"/>
      </w:rPr>
    </w:lvl>
    <w:lvl w:ilvl="6">
      <w:start w:val="1"/>
      <w:numFmt w:val="bullet"/>
      <w:lvlText w:val=""/>
      <w:lvlJc w:val="left"/>
      <w:pPr>
        <w:tabs>
          <w:tab w:val="num" w:pos="2880"/>
        </w:tabs>
        <w:ind w:left="2880" w:hanging="360"/>
      </w:pPr>
      <w:rPr>
        <w:rFonts w:ascii="Wingdings" w:hAnsi="Wingdings" w:cs="Wingdings" w:hint="default"/>
        <w:sz w:val="22"/>
        <w:szCs w:val="22"/>
      </w:rPr>
    </w:lvl>
    <w:lvl w:ilvl="7">
      <w:start w:val="1"/>
      <w:numFmt w:val="bullet"/>
      <w:lvlText w:val=""/>
      <w:lvlJc w:val="left"/>
      <w:pPr>
        <w:tabs>
          <w:tab w:val="num" w:pos="3240"/>
        </w:tabs>
        <w:ind w:left="3240" w:hanging="360"/>
      </w:pPr>
      <w:rPr>
        <w:rFonts w:ascii="Wingdings" w:hAnsi="Wingdings" w:cs="Wingdings" w:hint="default"/>
        <w:sz w:val="22"/>
        <w:szCs w:val="22"/>
      </w:rPr>
    </w:lvl>
    <w:lvl w:ilvl="8">
      <w:start w:val="1"/>
      <w:numFmt w:val="bullet"/>
      <w:lvlText w:val=""/>
      <w:lvlJc w:val="left"/>
      <w:pPr>
        <w:tabs>
          <w:tab w:val="num" w:pos="3600"/>
        </w:tabs>
        <w:ind w:left="3600" w:hanging="360"/>
      </w:pPr>
      <w:rPr>
        <w:rFonts w:ascii="Wingdings" w:hAnsi="Wingdings" w:cs="Wingdings" w:hint="default"/>
        <w:sz w:val="22"/>
        <w:szCs w:val="22"/>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65"/>
  <w:defaultTabStop w:val="708"/>
  <w:autoHyphenation w:val="true"/>
  <w:hyphenationZone w:val="425"/>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4571"/>
    <w:pPr>
      <w:widowControl/>
      <w:suppressAutoHyphens w:val="true"/>
      <w:bidi w:val="0"/>
      <w:spacing w:before="0" w:after="0"/>
      <w:jc w:val="left"/>
    </w:pPr>
    <w:rPr>
      <w:rFonts w:ascii="Times New Roman" w:hAnsi="Times New Roman" w:eastAsia="Times New Roman" w:cs="Times New Roman"/>
      <w:color w:val="auto"/>
      <w:kern w:val="0"/>
      <w:sz w:val="24"/>
      <w:szCs w:val="24"/>
      <w:lang w:eastAsia="fr-FR" w:val="fr-FR" w:bidi="ar-SA"/>
    </w:rPr>
  </w:style>
  <w:style w:type="paragraph" w:styleId="Heading1">
    <w:name w:val="Heading 1"/>
    <w:basedOn w:val="Normal"/>
    <w:next w:val="Normal"/>
    <w:link w:val="Titre1Car"/>
    <w:uiPriority w:val="9"/>
    <w:qFormat/>
    <w:rsid w:val="00cf4571"/>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itre2Car"/>
    <w:uiPriority w:val="9"/>
    <w:semiHidden/>
    <w:unhideWhenUsed/>
    <w:qFormat/>
    <w:rsid w:val="00cf4571"/>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itre3Car"/>
    <w:uiPriority w:val="9"/>
    <w:semiHidden/>
    <w:unhideWhenUsed/>
    <w:qFormat/>
    <w:rsid w:val="00cf4571"/>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itre4Car"/>
    <w:uiPriority w:val="9"/>
    <w:semiHidden/>
    <w:unhideWhenUsed/>
    <w:qFormat/>
    <w:rsid w:val="00cf4571"/>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itre5Car"/>
    <w:uiPriority w:val="9"/>
    <w:semiHidden/>
    <w:unhideWhenUsed/>
    <w:qFormat/>
    <w:rsid w:val="00cf4571"/>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itre6Car"/>
    <w:uiPriority w:val="9"/>
    <w:semiHidden/>
    <w:unhideWhenUsed/>
    <w:qFormat/>
    <w:rsid w:val="00cf4571"/>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cf4571"/>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cf4571"/>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cf4571"/>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cf4571"/>
    <w:rPr>
      <w:rFonts w:ascii="Calibri Light" w:hAnsi="Calibri Light" w:eastAsia="" w:cs="" w:asciiTheme="majorHAnsi" w:cstheme="majorBidi" w:eastAsiaTheme="majorEastAsia" w:hAnsiTheme="majorHAnsi"/>
      <w:color w:themeColor="accent1" w:themeShade="bf" w:val="2F5496"/>
      <w:sz w:val="40"/>
      <w:szCs w:val="40"/>
    </w:rPr>
  </w:style>
  <w:style w:type="character" w:styleId="Titre2Car" w:customStyle="1">
    <w:name w:val="Titre 2 Car"/>
    <w:basedOn w:val="DefaultParagraphFont"/>
    <w:uiPriority w:val="9"/>
    <w:semiHidden/>
    <w:qFormat/>
    <w:rsid w:val="00cf4571"/>
    <w:rPr>
      <w:rFonts w:ascii="Calibri Light" w:hAnsi="Calibri Light" w:eastAsia="" w:cs="" w:asciiTheme="majorHAnsi" w:cstheme="majorBidi" w:eastAsiaTheme="majorEastAsia" w:hAnsiTheme="majorHAnsi"/>
      <w:color w:themeColor="accent1" w:themeShade="bf" w:val="2F5496"/>
      <w:sz w:val="32"/>
      <w:szCs w:val="32"/>
    </w:rPr>
  </w:style>
  <w:style w:type="character" w:styleId="Titre3Car" w:customStyle="1">
    <w:name w:val="Titre 3 Car"/>
    <w:basedOn w:val="DefaultParagraphFont"/>
    <w:uiPriority w:val="9"/>
    <w:semiHidden/>
    <w:qFormat/>
    <w:rsid w:val="00cf4571"/>
    <w:rPr>
      <w:rFonts w:eastAsia="" w:cs="" w:cstheme="majorBidi" w:eastAsiaTheme="majorEastAsia"/>
      <w:color w:themeColor="accent1" w:themeShade="bf" w:val="2F5496"/>
      <w:sz w:val="28"/>
      <w:szCs w:val="28"/>
    </w:rPr>
  </w:style>
  <w:style w:type="character" w:styleId="Titre4Car" w:customStyle="1">
    <w:name w:val="Titre 4 Car"/>
    <w:basedOn w:val="DefaultParagraphFont"/>
    <w:uiPriority w:val="9"/>
    <w:semiHidden/>
    <w:qFormat/>
    <w:rsid w:val="00cf4571"/>
    <w:rPr>
      <w:rFonts w:eastAsia="" w:cs="" w:cstheme="majorBidi" w:eastAsiaTheme="majorEastAsia"/>
      <w:i/>
      <w:iCs/>
      <w:color w:themeColor="accent1" w:themeShade="bf" w:val="2F5496"/>
    </w:rPr>
  </w:style>
  <w:style w:type="character" w:styleId="Titre5Car" w:customStyle="1">
    <w:name w:val="Titre 5 Car"/>
    <w:basedOn w:val="DefaultParagraphFont"/>
    <w:uiPriority w:val="9"/>
    <w:semiHidden/>
    <w:qFormat/>
    <w:rsid w:val="00cf4571"/>
    <w:rPr>
      <w:rFonts w:eastAsia="" w:cs="" w:cstheme="majorBidi" w:eastAsiaTheme="majorEastAsia"/>
      <w:color w:themeColor="accent1" w:themeShade="bf" w:val="2F5496"/>
    </w:rPr>
  </w:style>
  <w:style w:type="character" w:styleId="Titre6Car" w:customStyle="1">
    <w:name w:val="Titre 6 Car"/>
    <w:basedOn w:val="DefaultParagraphFont"/>
    <w:uiPriority w:val="9"/>
    <w:semiHidden/>
    <w:qFormat/>
    <w:rsid w:val="00cf4571"/>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cf4571"/>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cf4571"/>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cf4571"/>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cf4571"/>
    <w:rPr>
      <w:rFonts w:ascii="Calibri Light" w:hAnsi="Calibri Light"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cf4571"/>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cf4571"/>
    <w:rPr>
      <w:i/>
      <w:iCs/>
      <w:color w:themeColor="text1" w:themeTint="bf" w:val="404040"/>
    </w:rPr>
  </w:style>
  <w:style w:type="character" w:styleId="IntenseEmphasis">
    <w:name w:val="Intense Emphasis"/>
    <w:basedOn w:val="DefaultParagraphFont"/>
    <w:uiPriority w:val="21"/>
    <w:qFormat/>
    <w:rsid w:val="00cf4571"/>
    <w:rPr>
      <w:i/>
      <w:iCs/>
      <w:color w:themeColor="accent1" w:themeShade="bf" w:val="2F5496"/>
    </w:rPr>
  </w:style>
  <w:style w:type="character" w:styleId="CitationintenseCar" w:customStyle="1">
    <w:name w:val="Citation intense Car"/>
    <w:basedOn w:val="DefaultParagraphFont"/>
    <w:link w:val="IntenseQuote"/>
    <w:uiPriority w:val="30"/>
    <w:qFormat/>
    <w:rsid w:val="00cf4571"/>
    <w:rPr>
      <w:i/>
      <w:iCs/>
      <w:color w:themeColor="accent1" w:themeShade="bf" w:val="2F5496"/>
    </w:rPr>
  </w:style>
  <w:style w:type="character" w:styleId="IntenseReference">
    <w:name w:val="Intense Reference"/>
    <w:basedOn w:val="DefaultParagraphFont"/>
    <w:uiPriority w:val="32"/>
    <w:qFormat/>
    <w:rsid w:val="00cf4571"/>
    <w:rPr>
      <w:b/>
      <w:bCs/>
      <w:smallCaps/>
      <w:color w:themeColor="accent1" w:themeShade="bf" w:val="2F5496"/>
      <w:spacing w:val="5"/>
    </w:rPr>
  </w:style>
  <w:style w:type="character" w:styleId="PieddepageCar" w:customStyle="1">
    <w:name w:val="Pied de page Car"/>
    <w:basedOn w:val="DefaultParagraphFont"/>
    <w:uiPriority w:val="99"/>
    <w:qFormat/>
    <w:rsid w:val="00cf4571"/>
    <w:rPr>
      <w:rFonts w:ascii="Times New Roman" w:hAnsi="Times New Roman" w:eastAsia="Times New Roman" w:cs="Times New Roman"/>
      <w:sz w:val="24"/>
      <w:szCs w:val="24"/>
      <w:lang w:eastAsia="fr-FR"/>
    </w:rPr>
  </w:style>
  <w:style w:type="character" w:styleId="Hyperlink">
    <w:name w:val="Hyperlink"/>
    <w:uiPriority w:val="99"/>
    <w:rsid w:val="00cf4571"/>
    <w:rPr>
      <w:color w:val="0000FF"/>
      <w:u w:val="single"/>
    </w:rPr>
  </w:style>
  <w:style w:type="character" w:styleId="CorpsdetexteCar" w:customStyle="1">
    <w:name w:val="Corps de texte Car"/>
    <w:qFormat/>
    <w:rsid w:val="00cf4571"/>
    <w:rPr>
      <w:sz w:val="24"/>
      <w:szCs w:val="24"/>
    </w:rPr>
  </w:style>
  <w:style w:type="character" w:styleId="CorpsdetexteCar1" w:customStyle="1">
    <w:name w:val="Corps de texte Car1"/>
    <w:basedOn w:val="DefaultParagraphFont"/>
    <w:uiPriority w:val="99"/>
    <w:semiHidden/>
    <w:qFormat/>
    <w:rsid w:val="00cf4571"/>
    <w:rPr>
      <w:rFonts w:ascii="Times New Roman" w:hAnsi="Times New Roman" w:eastAsia="Times New Roman" w:cs="Times New Roman"/>
      <w:sz w:val="24"/>
      <w:szCs w:val="24"/>
      <w:lang w:eastAsia="fr-FR"/>
    </w:rPr>
  </w:style>
  <w:style w:type="character" w:styleId="En-tteCar" w:customStyle="1">
    <w:name w:val="En-tête Car"/>
    <w:basedOn w:val="DefaultParagraphFont"/>
    <w:uiPriority w:val="99"/>
    <w:qFormat/>
    <w:rsid w:val="00cf4571"/>
    <w:rPr>
      <w:rFonts w:ascii="Times New Roman" w:hAnsi="Times New Roman" w:eastAsia="Times New Roman" w:cs="Times New Roman"/>
      <w:sz w:val="24"/>
      <w:szCs w:val="24"/>
      <w:lang w:eastAsia="fr-FR"/>
    </w:rPr>
  </w:style>
  <w:style w:type="character" w:styleId="Puces" w:customStyle="1">
    <w:name w:val="Puces"/>
    <w:qFormat/>
    <w:rPr>
      <w:rFonts w:ascii="Calibri" w:hAnsi="Calibri" w:eastAsia="OpenSymbol" w:cs="OpenSymbol"/>
      <w:sz w:val="22"/>
      <w:szCs w:val="22"/>
    </w:rPr>
  </w:style>
  <w:style w:type="character" w:styleId="Caractresdenumrotation" w:customStyle="1">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sdetexteCar"/>
    <w:rsid w:val="00cf4571"/>
    <w:pPr>
      <w:overflowPunct w:val="true"/>
      <w:spacing w:before="0" w:after="120"/>
    </w:pPr>
    <w:rPr>
      <w:rFonts w:ascii="Calibri" w:hAnsi="Calibri" w:eastAsia="Calibri" w:cs="" w:asciiTheme="minorHAnsi" w:cstheme="minorBidi" w:eastAsiaTheme="minorHAnsi" w:hAnsiTheme="minorHAnsi"/>
      <w:lang w:eastAsia="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Index" w:customStyle="1">
    <w:name w:val="Index"/>
    <w:basedOn w:val="Normal"/>
    <w:qFormat/>
    <w:pPr>
      <w:suppressLineNumbers/>
    </w:pPr>
    <w:rPr>
      <w:rFonts w:cs="Noto Sans Devanagari"/>
    </w:rPr>
  </w:style>
  <w:style w:type="paragraph" w:styleId="Title">
    <w:name w:val="Title"/>
    <w:basedOn w:val="Normal"/>
    <w:next w:val="BodyText"/>
    <w:link w:val="TitreCar"/>
    <w:uiPriority w:val="10"/>
    <w:qFormat/>
    <w:rsid w:val="00cf4571"/>
    <w:pPr>
      <w:spacing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cf4571"/>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cf4571"/>
    <w:pPr>
      <w:spacing w:before="160" w:after="0"/>
      <w:jc w:val="center"/>
    </w:pPr>
    <w:rPr>
      <w:i/>
      <w:iCs/>
      <w:color w:themeColor="text1" w:themeTint="bf" w:val="404040"/>
    </w:rPr>
  </w:style>
  <w:style w:type="paragraph" w:styleId="ListParagraph">
    <w:name w:val="List Paragraph"/>
    <w:basedOn w:val="Normal"/>
    <w:uiPriority w:val="34"/>
    <w:qFormat/>
    <w:rsid w:val="00cf4571"/>
    <w:pPr>
      <w:spacing w:before="0" w:after="0"/>
      <w:ind w:left="720"/>
      <w:contextualSpacing/>
    </w:pPr>
    <w:rPr/>
  </w:style>
  <w:style w:type="paragraph" w:styleId="IntenseQuote">
    <w:name w:val="Intense Quote"/>
    <w:basedOn w:val="Normal"/>
    <w:next w:val="Normal"/>
    <w:link w:val="CitationintenseCar"/>
    <w:uiPriority w:val="30"/>
    <w:qFormat/>
    <w:rsid w:val="00cf4571"/>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En-tteetpieddepage" w:customStyle="1">
    <w:name w:val="En-tête et pied de page"/>
    <w:basedOn w:val="Normal"/>
    <w:qFormat/>
    <w:pPr/>
    <w:rPr/>
  </w:style>
  <w:style w:type="paragraph" w:styleId="Footer">
    <w:name w:val="Footer"/>
    <w:basedOn w:val="Normal"/>
    <w:link w:val="PieddepageCar"/>
    <w:uiPriority w:val="99"/>
    <w:rsid w:val="00cf4571"/>
    <w:pPr>
      <w:tabs>
        <w:tab w:val="clear" w:pos="708"/>
        <w:tab w:val="center" w:pos="4536" w:leader="none"/>
        <w:tab w:val="right" w:pos="9072" w:leader="none"/>
      </w:tabs>
    </w:pPr>
    <w:rPr/>
  </w:style>
  <w:style w:type="paragraph" w:styleId="Contenudecadre" w:customStyle="1">
    <w:name w:val="Contenu de cadre"/>
    <w:basedOn w:val="Normal"/>
    <w:qFormat/>
    <w:rsid w:val="00cf4571"/>
    <w:pPr>
      <w:overflowPunct w:val="true"/>
    </w:pPr>
    <w:rPr/>
  </w:style>
  <w:style w:type="paragraph" w:styleId="Header">
    <w:name w:val="Header"/>
    <w:basedOn w:val="Normal"/>
    <w:link w:val="En-tteCar"/>
    <w:uiPriority w:val="99"/>
    <w:unhideWhenUsed/>
    <w:rsid w:val="00cf4571"/>
    <w:pPr>
      <w:tabs>
        <w:tab w:val="clear" w:pos="708"/>
        <w:tab w:val="center" w:pos="4536" w:leader="none"/>
        <w:tab w:val="right" w:pos="9072" w:leader="none"/>
      </w:tabs>
    </w:pPr>
    <w:rPr/>
  </w:style>
  <w:style w:type="paragraph" w:styleId="Texteprformat" w:customStyle="1">
    <w:name w:val="Texte préformaté"/>
    <w:basedOn w:val="Normal"/>
    <w:qFormat/>
    <w:pPr/>
    <w:rPr>
      <w:rFonts w:ascii="Liberation Mono" w:hAnsi="Liberation Mono" w:eastAsia="Liberation Mono" w:cs="Liberation Mono"/>
      <w:sz w:val="20"/>
      <w:szCs w:val="20"/>
    </w:rPr>
  </w:style>
  <w:style w:type="paragraph" w:styleId="Contenudetableau" w:customStyle="1">
    <w:name w:val="Contenu de tableau"/>
    <w:basedOn w:val="Normal"/>
    <w:qFormat/>
    <w:pPr>
      <w:widowControl w:val="false"/>
      <w:suppressLineNumbers/>
    </w:pPr>
    <w:rPr/>
  </w:style>
  <w:style w:type="paragraph" w:styleId="Titredetableau" w:customStyle="1">
    <w:name w:val="Titre de tableau"/>
    <w:basedOn w:val="Contenudetableau"/>
    <w:qFormat/>
    <w:pPr>
      <w:jc w:val="center"/>
    </w:pPr>
    <w:rPr>
      <w:b/>
      <w:bCs/>
    </w:rPr>
  </w:style>
  <w:style w:type="numbering" w:styleId="Pasdeliste" w:customStyle="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simon.zana@digital4b.com" TargetMode="External"/><Relationship Id="rId2" Type="http://schemas.openxmlformats.org/officeDocument/2006/relationships/hyperlink" Target="mailto:simon.zana@digital4b.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simon.zana@digital4b.com" TargetMode="External"/><Relationship Id="rId2" Type="http://schemas.openxmlformats.org/officeDocument/2006/relationships/hyperlink" Target="mailto:simon.zana@digital4b.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LibreOffice/24.2.7.2$Linux_X86_64 LibreOffice_project/420$Build-2</Application>
  <AppVersion>15.0000</AppVersion>
  <Pages>1</Pages>
  <Words>195</Words>
  <Characters>1054</Characters>
  <CharactersWithSpaces>1203</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2026-01-28T07:43:00Z</dcterms:created>
  <dc:creator>Lucas Buixuanhy</dc:creator>
  <dc:description/>
  <dc:language>fr-FR</dc:language>
  <cp:lastModifiedBy/>
  <dcterms:modified xsi:type="dcterms:W3CDTF">2026-02-03T13:41:17Z</dcterms:modified>
  <cp:revision>3</cp:revision>
  <dc:subject/>
  <dc:title/>
  <dc:identifier/>
</cp:coreProperties>
</file>

<file path=docProps/custom.xml><?xml version="1.0" encoding="utf-8"?>
<Properties xmlns="http://schemas.openxmlformats.org/officeDocument/2006/custom-properties" xmlns:vt="http://schemas.openxmlformats.org/officeDocument/2006/docPropsVTypes"/>
</file>