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9"/>
        <w:rPr>
          <w:sz w:val="21"/>
          <w:szCs w:val="21"/>
        </w:rPr>
      </w:pPr>
      <w:r>
        <w:rPr/>
      </w:r>
    </w:p>
    <w:p>
      <w:pPr>
        <w:pStyle w:val="Normal"/>
        <w:spacing w:before="0" w:after="19"/>
        <w:rPr/>
      </w:pPr>
      <w:r>
        <w:rPr/>
        <mc:AlternateContent>
          <mc:Choice Requires="wps">
            <w:drawing>
              <wp:inline distT="0" distB="0" distL="0" distR="0">
                <wp:extent cx="6494145" cy="309880"/>
                <wp:effectExtent l="114300" t="0" r="114300" b="12065"/>
                <wp:docPr id="1001" name="Rectangle : coins arrondis 11"/>
                <a:graphic xmlns:a="http://schemas.openxmlformats.org/drawingml/2006/main">
                  <a:graphicData uri="http://schemas.microsoft.com/office/word/2010/wordprocessingShape">
                    <wps:wsp>
                      <wps:cNvSpPr/>
                      <wps:nvSpPr>
                        <wps:cNvPr id="2" name="Rectangle : coins arrondis 11"/>
                        <wps:cNvSpPr/>
                      </wps:nvSpPr>
                      <wps:spPr>
                        <a:xfrm>
                          <a:off x="0" y="0"/>
                          <a:ext cx="6494040" cy="309960"/>
                        </a:xfrm>
                        <a:prstGeom prst="roundRect">
                          <a:avLst/>
                        </a:prstGeom>
                        <a:gradFill rotWithShape="0">
                          <a:gsLst>
                            <a:gs pos="0">
                              <a:srgbClr val="284475"/>
                            </a:gs>
                            <a:gs pos="100000">
                              <a:srgbClr val="4472c4"/>
                            </a:gs>
                          </a:gsLst>
                          <a:lin ang="18900000"/>
                        </a:gradFill>
                        <a:ln w="12600">
                          <a:solidFill>
                            <a:srgbClr val="02466d"/>
                          </a:solidFill>
                          <a:round/>
                        </a:ln>
                      </wps:spPr>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DOMAINES DE COMPÉTENCES</w:t>
                            </w:r>
                          </w:p>
                        </w:txbxContent>
                      </wps:txbx>
                      <wps:bodyPr anchor="t" anchorCtr="1">
                        <a:noAutofit/>
                      </wps:bodyPr>
                    </wps:wsp>
                  </a:graphicData>
                </a:graphic>
              </wp:inline>
            </w:drawing>
          </mc:Choice>
          <mc:Fallback>
            <w:pict>
              <v:roundrect id="shape_0" ID="Rectangle : coins arrondis 11" fillcolor="#284475" stroked="t" o:allowincell="f" style="position:absolute;margin-left:0pt;margin-top:-25.4pt;width:511.3pt;height:24.35pt;mso-wrap-style:square;v-text-anchor:top-center;mso-position-vertical:top">
                <v:fill o:detectmouseclick="t" color2="#4472c4"/>
                <v:stroke color="#02466d" weight="12600" joinstyle="round" endcap="flat"/>
                <v:textbo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DOMAINES DE COMPÉTENCES</w:t>
                      </w:r>
                    </w:p>
                  </w:txbxContent>
                </v:textbox>
                <w10:wrap type="none"/>
              </v:roundrect>
            </w:pict>
          </mc:Fallback>
        </mc:AlternateContent>
      </w:r>
    </w:p>
    <w:p>
      <w:pPr>
        <w:pStyle w:val="Normal"/>
        <w:rPr>
          <w:sz w:val="16"/>
          <w:szCs w:val="16"/>
        </w:rPr>
      </w:pPr>
      <w:r>
        <w:rPr>
          <w:rFonts w:cs="Calibri" w:ascii="Calibri" w:hAnsi="Calibri"/>
          <w:sz w:val="16"/>
          <w:szCs w:val="16"/>
        </w:rPr>
        <w:t xml:space="preserve"/>
      </w:r>
    </w:p>
    <w:p>
      <w:pPr>
        <w:pStyle w:val="Normal"/>
        <w:numPr>
          <w:ilvl w:val="0"/>
          <w:numId w:val="1"/>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Conception et implémentation d’architectures Java EE sur des serveurs d’applications WebSphere, JBoss, Tomcat et Liberty, incluant la définition de bonnes pratiques et la gestion du cycle de vie.</w:t>
      </w:r>
    </w:p>
    <w:p>
      <w:pPr>
        <w:pStyle w:val="Normal"/>
        <w:rPr>
          <w:sz w:val="20"/>
          <w:szCs w:val="20"/>
        </w:rPr>
      </w:pPr>
      <w:r>
        <w:rPr>
          <w:sz w:val="20"/>
          <w:szCs w:val="20"/>
        </w:rPr>
        <w:t xml:space="preserve"/>
      </w:r>
    </w:p>
    <w:p>
      <w:pPr>
        <w:pStyle w:val="Normal"/>
        <w:numPr>
          <w:ilvl w:val="0"/>
          <w:numId w:val="1"/>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Automatisation du provisioning, de l’installation, du patching et du déploiement d’infrastructures et d’applications via Ansible, Terraform, Docker et des pipelines CI/CD.</w:t>
      </w:r>
    </w:p>
    <w:p>
      <w:pPr>
        <w:pStyle w:val="Normal"/>
        <w:rPr>
          <w:sz w:val="20"/>
          <w:szCs w:val="20"/>
        </w:rPr>
      </w:pPr>
      <w:r>
        <w:rPr>
          <w:sz w:val="20"/>
          <w:szCs w:val="20"/>
        </w:rPr>
        <w:t xml:space="preserve"/>
      </w:r>
    </w:p>
    <w:p>
      <w:pPr>
        <w:pStyle w:val="Normal"/>
        <w:numPr>
          <w:ilvl w:val="0"/>
          <w:numId w:val="1"/>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Gestion opérationnelle et support Niveau 3 des environnements middleware, incluant la résolution d’incidents, la supervision et l’optimisation des performances.</w:t>
      </w:r>
    </w:p>
    <w:p>
      <w:pPr>
        <w:pStyle w:val="Normal"/>
        <w:rPr>
          <w:sz w:val="20"/>
          <w:szCs w:val="20"/>
        </w:rPr>
      </w:pPr>
      <w:r>
        <w:rPr>
          <w:sz w:val="20"/>
          <w:szCs w:val="20"/>
        </w:rPr>
        <w:t xml:space="preserve"/>
      </w:r>
    </w:p>
    <w:p>
      <w:pPr>
        <w:pStyle w:val="Normal"/>
        <w:numPr>
          <w:ilvl w:val="0"/>
          <w:numId w:val="1"/>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Mise en place et administration de solutions de gestion des secrets et des accès privilégiés (CyberArk, HashiCorp Vault, Ansible Vault).</w:t>
      </w:r>
    </w:p>
    <w:p>
      <w:pPr>
        <w:pStyle w:val="Normal"/>
        <w:rPr>
          <w:sz w:val="20"/>
          <w:szCs w:val="20"/>
        </w:rPr>
      </w:pPr>
      <w:r>
        <w:rPr>
          <w:sz w:val="20"/>
          <w:szCs w:val="20"/>
        </w:rPr>
        <w:t xml:space="preserve"/>
      </w:r>
    </w:p>
    <w:p>
      <w:pPr>
        <w:pStyle w:val="Normal"/>
        <w:numPr>
          <w:ilvl w:val="0"/>
          <w:numId w:val="1"/>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Déploiement et exploitation d’outils de monitoring, d’observabilité et de gestion des performances (Dynatrace, AppDynamics, ITCAM, ELK, Splunk).</w:t>
      </w:r>
    </w:p>
    <w:p>
      <w:pPr>
        <w:pStyle w:val="Normal"/>
        <w:rPr>
          <w:sz w:val="20"/>
          <w:szCs w:val="20"/>
        </w:rPr>
      </w:pPr>
      <w:r>
        <w:rPr>
          <w:sz w:val="20"/>
          <w:szCs w:val="20"/>
        </w:rPr>
        <w:t xml:space="preserve"/>
      </w:r>
    </w:p>
    <w:p>
      <w:pPr>
        <w:pStyle w:val="Normal"/>
        <w:numPr>
          <w:ilvl w:val="0"/>
          <w:numId w:val="1"/>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Administration et optimisation d’environnements systèmes Linux, AIX et Windows, ainsi que de plateformes de virtualisation et cloud (VMware, AWS, Kubernetes).</w:t>
      </w:r>
    </w:p>
    <w:p>
      <w:pPr>
        <w:pStyle w:val="Normal"/>
        <w:rPr>
          <w:sz w:val="20"/>
          <w:szCs w:val="20"/>
        </w:rPr>
      </w:pPr>
      <w:r>
        <w:rPr>
          <w:sz w:val="20"/>
          <w:szCs w:val="20"/>
        </w:rPr>
        <w:t xml:space="preserve"/>
      </w:r>
    </w:p>
    <w:p>
      <w:pPr>
        <w:pStyle w:val="Normal"/>
        <w:numPr>
          <w:ilvl w:val="0"/>
          <w:numId w:val="1"/>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Gestion de bases de données relationnelles (Oracle, DB2, MySQL, MariaDB, PostgreSQL) et intégration dans les processus de déploiement automatisé.</w:t>
      </w:r>
    </w:p>
    <w:p>
      <w:pPr>
        <w:pStyle w:val="Normal"/>
        <w:rPr>
          <w:sz w:val="20"/>
          <w:szCs w:val="20"/>
        </w:rPr>
      </w:pPr>
      <w:r>
        <w:rPr>
          <w:sz w:val="20"/>
          <w:szCs w:val="20"/>
        </w:rPr>
        <w:t xml:space="preserve"/>
      </w:r>
    </w:p>
    <w:p>
      <w:pPr>
        <w:pStyle w:val="Normal"/>
        <w:rPr/>
      </w:pPr>
      <w:r>
        <w:rPr/>
        <mc:AlternateContent>
          <mc:Choice Requires="wps">
            <w:drawing>
              <wp:inline distT="0" distB="0" distL="0" distR="0">
                <wp:extent cx="6494145" cy="309880"/>
                <wp:effectExtent l="114300" t="0" r="114300" b="0"/>
                <wp:docPr id="1002" name="Rectangle : coins arrondis 9"/>
                <a:graphic xmlns:a="http://schemas.openxmlformats.org/drawingml/2006/main">
                  <a:graphicData uri="http://schemas.microsoft.com/office/word/2010/wordprocessingShape">
                    <wps:wsp>
                      <wps:cNvSpPr/>
                      <wps:nvSpPr>
                        <wps:cNvPr id="4" name="Rectangle : coins arrondis 9"/>
                        <wps:cNvSpPr/>
                      </wps:nvSpPr>
                      <wps:spPr>
                        <a:xfrm>
                          <a:off x="0" y="0"/>
                          <a:ext cx="6494040" cy="309960"/>
                        </a:xfrm>
                        <a:prstGeom prst="roundRect">
                          <a:avLst/>
                        </a:prstGeom>
                        <a:gradFill rotWithShape="0">
                          <a:gsLst>
                            <a:gs pos="0">
                              <a:srgbClr val="284475"/>
                            </a:gs>
                            <a:gs pos="100000">
                              <a:srgbClr val="4472c4"/>
                            </a:gs>
                          </a:gsLst>
                          <a:lin ang="18900000"/>
                        </a:gradFill>
                        <a:ln w="12600">
                          <a:solidFill>
                            <a:srgbClr val="02466d"/>
                          </a:solidFill>
                          <a:round/>
                        </a:ln>
                      </wps:spPr>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OUTILS</w:t>
                            </w:r>
                          </w:p>
                        </w:txbxContent>
                      </wps:txbx>
                      <wps:bodyPr anchor="t" anchorCtr="1">
                        <a:noAutofit/>
                      </wps:bodyPr>
                    </wps:wsp>
                  </a:graphicData>
                </a:graphic>
              </wp:inline>
            </w:drawing>
          </mc:Choice>
          <mc:Fallback>
            <w:pict>
              <v:roundrect id="shape_0" ID="Rectangle : coins arrondis 9" fillcolor="#284475" stroked="t" o:allowincell="f" style="position:absolute;margin-left:0pt;margin-top:-24.45pt;width:511.3pt;height:24.35pt;mso-wrap-style:square;v-text-anchor:top-center;mso-position-vertical:top">
                <v:fill o:detectmouseclick="t" color2="#4472c4"/>
                <v:stroke color="#02466d" weight="12600" joinstyle="round" endcap="flat"/>
                <v:textbo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OUTILS</w:t>
                      </w:r>
                    </w:p>
                  </w:txbxContent>
                </v:textbox>
                <w10:wrap type="none"/>
              </v:roundrect>
            </w:pict>
          </mc:Fallback>
        </mc:AlternateConten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Gestion de version et CI/CD: Git, GitLab, Azure DevOps Server, Jenkins, Nexus, JFrog Artifactory</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Automatisation et orchestration: Red Hat Ansible Automation Platform, Ansible Tower, AWX, Terraform, Docker, Docker Compose, Rundeck</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Gestion des secrets et accès privilégiés: CyberArk Enterprise Password Vault, CyberArk Privileged Access Manager, HashiCorp Vault, Ansible Vault</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Middleware et serveurs d’applications: IBM WebSphere Application Server, IBM WebSphere Liberty, IBM WebSphere Business Integration, IBM WebSphere Process Server, IBM WebSphere Portal, IBM WebSphere ESB, IBM WebSphere DataPower, JBoss EAP, WildFly, Apache Tomcat, Apache HTTP Server, IBM WebLogic, IBM WebLogic Integration</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Monitoring et observabilité: Dynatrace, AppDynamics, ITCAM, ELK Stack, Splunk</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Gestion des bases de données: Oracle, DB2, MySQL, MariaDB, PostgreSQL</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Virtualisation, cloud et conteneurisation: VMware vSphere, vCenter, AWS, Kubernetes</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Gestion de tickets et collaboration: Jira, ServiceNow, Mantis, Trello, Kanban, Mattermost</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Outils d’API et de test: Swagger, Postman, SoapUI, JMeter, JAD</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Sécurité et annuaires: IBM Tivoli Directory Server, Microsoft Active Directory, SSSD</w:t>
      </w:r>
    </w:p>
    <w:p>
      <w:pPr>
        <w:pStyle w:val="Normal"/>
        <w:rPr>
          <w:sz w:val="16"/>
          <w:szCs w:val="16"/>
        </w:rPr>
      </w:pPr>
      <w:r>
        <w:rPr>
          <w:rFonts w:ascii="Calibri" w:hAnsi="Calibri"/>
          <w:sz w:val="16"/>
          <w:szCs w:val="16"/>
        </w:rPr>
        <w:t xml:space="preserve"/>
      </w:r>
    </w:p>
    <w:p>
      <w:pPr>
        <w:pStyle w:val="Normal"/>
        <w:spacing w:before="0" w:after="19"/>
        <w:rPr/>
      </w:pPr>
      <w:r>
        <w:rPr/>
        <mc:AlternateContent>
          <mc:Choice Requires="wps">
            <w:drawing>
              <wp:inline distT="0" distB="0" distL="0" distR="0">
                <wp:extent cx="6494145" cy="309880"/>
                <wp:effectExtent l="114300" t="0" r="114300" b="12065"/>
                <wp:docPr id="1003" name="Rectangle : coins arrondis 7"/>
                <a:graphic xmlns:a="http://schemas.openxmlformats.org/drawingml/2006/main">
                  <a:graphicData uri="http://schemas.microsoft.com/office/word/2010/wordprocessingShape">
                    <wps:wsp>
                      <wps:cNvSpPr/>
                      <wps:nvSpPr>
                        <wps:cNvPr id="6" name="Rectangle : coins arrondis 7"/>
                        <wps:cNvSpPr/>
                      </wps:nvSpPr>
                      <wps:spPr>
                        <a:xfrm>
                          <a:off x="0" y="0"/>
                          <a:ext cx="6494040" cy="309960"/>
                        </a:xfrm>
                        <a:prstGeom prst="roundRect">
                          <a:avLst/>
                        </a:prstGeom>
                        <a:gradFill rotWithShape="0">
                          <a:gsLst>
                            <a:gs pos="0">
                              <a:srgbClr val="284475"/>
                            </a:gs>
                            <a:gs pos="100000">
                              <a:srgbClr val="4472c4"/>
                            </a:gs>
                          </a:gsLst>
                          <a:lin ang="18900000"/>
                        </a:gradFill>
                        <a:ln w="12600">
                          <a:solidFill>
                            <a:srgbClr val="02466d"/>
                          </a:solidFill>
                          <a:round/>
                        </a:ln>
                      </wps:spPr>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SECTEURS D’ACTIVITÉ</w:t>
                            </w:r>
                          </w:p>
                        </w:txbxContent>
                      </wps:txbx>
                      <wps:bodyPr anchor="t" anchorCtr="1">
                        <a:noAutofit/>
                      </wps:bodyPr>
                    </wps:wsp>
                  </a:graphicData>
                </a:graphic>
              </wp:inline>
            </w:drawing>
          </mc:Choice>
          <mc:Fallback>
            <w:pict>
              <v:roundrect id="shape_0" ID="Rectangle : coins arrondis 7" fillcolor="#284475" stroked="t" o:allowincell="f" style="position:absolute;margin-left:0pt;margin-top:-25.4pt;width:511.3pt;height:24.35pt;mso-wrap-style:square;v-text-anchor:top-center;mso-position-vertical:top">
                <v:fill o:detectmouseclick="t" color2="#4472c4"/>
                <v:stroke color="#02466d" weight="12600" joinstyle="round" endcap="flat"/>
                <v:textbo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SECTEURS D’ACTIVITÉ</w:t>
                      </w:r>
                    </w:p>
                  </w:txbxContent>
                </v:textbox>
                <w10:wrap type="none"/>
              </v:roundrect>
            </w:pict>
          </mc:Fallback>
        </mc:AlternateContent>
      </w:r>
    </w:p>
    <w:p>
      <w:pPr>
        <w:pStyle w:val="Normal"/>
        <w:spacing w:before="0" w:after="19"/>
        <w:rPr>
          <w:sz w:val="16"/>
          <w:szCs w:val="16"/>
        </w:rPr>
      </w:pPr>
      <w:r>
        <w:rPr>
          <w:rFonts w:ascii="Calibri" w:hAnsi="Calibri"/>
          <w:sz w:val="16"/>
          <w:szCs w:val="16"/>
        </w:rPr>
        <w:t xml:space="preserve"/>
      </w:r>
    </w:p>
    <w:p>
      <w:pPr>
        <w:pStyle w:val="Normal"/>
        <w:numPr>
          <w:ilvl w:val="0"/>
          <w:numId w:val="4"/>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Banque/Finance</w:t>
      </w:r>
    </w:p>
    <w:p>
      <w:pPr>
        <w:pStyle w:val="Normal"/>
        <w:numPr>
          <w:ilvl w:val="0"/>
          <w:numId w:val="4"/>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Services financiers</w:t>
      </w:r>
    </w:p>
    <w:p>
      <w:pPr>
        <w:pStyle w:val="Normal"/>
        <w:numPr>
          <w:ilvl w:val="0"/>
          <w:numId w:val="4"/>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Assurance</w:t>
      </w:r>
    </w:p>
    <w:p>
      <w:pPr>
        <w:pStyle w:val="Normal"/>
        <w:numPr>
          <w:ilvl w:val="0"/>
          <w:numId w:val="4"/>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Énergie</w:t>
      </w:r>
    </w:p>
    <w:p>
      <w:pPr>
        <w:pStyle w:val="Normal"/>
        <w:numPr>
          <w:ilvl w:val="0"/>
          <w:numId w:val="4"/>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Télécommunications</w:t>
      </w:r>
    </w:p>
    <w:p>
      <w:pPr>
        <w:pStyle w:val="Normal"/>
        <w:numPr>
          <w:ilvl w:val="0"/>
          <w:numId w:val="4"/>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Informatique/Consulting</w:t>
      </w:r>
    </w:p>
    <w:p>
      <w:pPr>
        <w:pStyle w:val="Normal"/>
        <w:tabs>
          <w:tab w:val="clear" w:pos="708"/>
          <w:tab w:val="left" w:pos="1134" w:leader="none"/>
        </w:tabs>
        <w:spacing w:before="60" w:after="0"/>
        <w:ind w:left="1134"/>
        <w:rPr>
          <w:rFonts w:ascii="Calibri" w:hAnsi="Calibri" w:cs="Calibri"/>
          <w:color w:val="000000"/>
        </w:rPr>
      </w:pPr>
      <w:r>
        <w:rPr>
          <w:rFonts w:cs="Calibri" w:ascii="Calibri" w:hAnsi="Calibri"/>
          <w:color w:val="000000"/>
        </w:rPr>
      </w:r>
    </w:p>
    <w:p>
      <w:pPr>
        <w:pStyle w:val="Normal"/>
        <w:rPr/>
      </w:pPr>
      <w:r>
        <w:rPr/>
        <mc:AlternateContent>
          <mc:Choice Requires="wps">
            <w:drawing>
              <wp:inline distT="0" distB="0" distL="0" distR="0">
                <wp:extent cx="6494145" cy="309880"/>
                <wp:effectExtent l="114300" t="0" r="114300" b="0"/>
                <wp:docPr id="1004" name="Rectangle : coins arrondis 5"/>
                <a:graphic xmlns:a="http://schemas.openxmlformats.org/drawingml/2006/main">
                  <a:graphicData uri="http://schemas.microsoft.com/office/word/2010/wordprocessingShape">
                    <wps:wsp>
                      <wps:cNvSpPr/>
                      <wps:nvSpPr>
                        <wps:cNvPr id="8" name="Rectangle : coins arrondis 5"/>
                        <wps:cNvSpPr/>
                      </wps:nvSpPr>
                      <wps:spPr>
                        <a:xfrm>
                          <a:off x="0" y="0"/>
                          <a:ext cx="6494040" cy="309960"/>
                        </a:xfrm>
                        <a:prstGeom prst="roundRect">
                          <a:avLst/>
                        </a:prstGeom>
                        <a:gradFill rotWithShape="0">
                          <a:gsLst>
                            <a:gs pos="0">
                              <a:srgbClr val="284475"/>
                            </a:gs>
                            <a:gs pos="100000">
                              <a:srgbClr val="4472c4"/>
                            </a:gs>
                          </a:gsLst>
                          <a:lin ang="18900000"/>
                        </a:gradFill>
                        <a:ln w="12600">
                          <a:solidFill>
                            <a:srgbClr val="02466d"/>
                          </a:solidFill>
                          <a:round/>
                        </a:ln>
                      </wps:spPr>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DIPLÔMES / FORMATION</w:t>
                            </w:r>
                          </w:p>
                        </w:txbxContent>
                      </wps:txbx>
                      <wps:bodyPr anchor="t" anchorCtr="1">
                        <a:noAutofit/>
                      </wps:bodyPr>
                    </wps:wsp>
                  </a:graphicData>
                </a:graphic>
              </wp:inline>
            </w:drawing>
          </mc:Choice>
          <mc:Fallback>
            <w:pict>
              <v:roundrect id="shape_0" ID="Rectangle : coins arrondis 5" fillcolor="#284475" stroked="t" o:allowincell="f" style="position:absolute;margin-left:0pt;margin-top:-24.45pt;width:511.3pt;height:24.35pt;mso-wrap-style:square;v-text-anchor:top-center;mso-position-vertical:top">
                <v:fill o:detectmouseclick="t" color2="#4472c4"/>
                <v:stroke color="#02466d" weight="12600" joinstyle="round" endcap="flat"/>
                <v:textbo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DIPLÔMES / FORMATION</w:t>
                      </w:r>
                    </w:p>
                  </w:txbxContent>
                </v:textbox>
                <w10:wrap type="none"/>
              </v:roundrect>
            </w:pict>
          </mc:Fallback>
        </mc:AlternateContent>
      </w:r>
    </w:p>
    <w:p>
      <w:pPr>
        <w:pStyle w:val="Normal"/>
        <w:rPr>
          <w:sz w:val="21"/>
          <w:szCs w:val="21"/>
        </w:rPr>
      </w:pPr>
      <w:r>
        <w:rPr>
          <w:rFonts w:ascii="Calibri" w:hAnsi="Calibri"/>
          <w:sz w:val="21"/>
          <w:szCs w:val="21"/>
        </w:rPr>
        <w:t xml:space="preserve"/>
      </w:r>
      <w:r>
        <w:rPr>
          <w:sz w:val="21"/>
          <w:szCs w:val="21"/>
        </w:rPr>
        <w:t xml:space="preserve"/>
      </w:r>
    </w:p>
    <w:p>
      <w:pPr>
        <w:pStyle w:val="Normal"/>
        <w:rPr/>
      </w:pPr>
      <w:r>
        <w:rPr/>
        <mc:AlternateContent>
          <mc:Choice Requires="wps">
            <w:drawing>
              <wp:inline distT="0" distB="0" distL="0" distR="0">
                <wp:extent cx="6494145" cy="309880"/>
                <wp:effectExtent l="114300" t="0" r="114300" b="0"/>
                <wp:docPr id="1005" name="Rectangle : coins arrondis 1"/>
                <a:graphic xmlns:a="http://schemas.openxmlformats.org/drawingml/2006/main">
                  <a:graphicData uri="http://schemas.microsoft.com/office/word/2010/wordprocessingShape">
                    <wps:wsp>
                      <wps:cNvSpPr/>
                      <wps:nvSpPr>
                        <wps:cNvPr id="12" name="Rectangle : coins arrondis 1"/>
                        <wps:cNvSpPr/>
                      </wps:nvSpPr>
                      <wps:spPr>
                        <a:xfrm>
                          <a:off x="0" y="0"/>
                          <a:ext cx="6494040" cy="309960"/>
                        </a:xfrm>
                        <a:prstGeom prst="roundRect">
                          <a:avLst/>
                        </a:prstGeom>
                        <a:gradFill rotWithShape="0">
                          <a:gsLst>
                            <a:gs pos="0">
                              <a:srgbClr val="284475"/>
                            </a:gs>
                            <a:gs pos="100000">
                              <a:srgbClr val="4472c4"/>
                            </a:gs>
                          </a:gsLst>
                          <a:lin ang="18900000"/>
                        </a:gradFill>
                        <a:ln w="12600">
                          <a:solidFill>
                            <a:srgbClr val="02466d"/>
                          </a:solidFill>
                          <a:round/>
                        </a:ln>
                      </wps:spPr>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EXPÉRIENCES PROFESSIONNELLES</w:t>
                            </w:r>
                          </w:p>
                        </w:txbxContent>
                      </wps:txbx>
                      <wps:bodyPr anchor="t" anchorCtr="1">
                        <a:noAutofit/>
                      </wps:bodyPr>
                    </wps:wsp>
                  </a:graphicData>
                </a:graphic>
              </wp:inline>
            </w:drawing>
          </mc:Choice>
          <mc:Fallback>
            <w:pict>
              <v:roundrect id="shape_0" ID="Rectangle : coins arrondis 1" fillcolor="#284475" stroked="t" o:allowincell="f" style="position:absolute;margin-left:0pt;margin-top:-24.45pt;width:511.3pt;height:24.35pt;mso-wrap-style:square;v-text-anchor:top-center;mso-position-vertical:top">
                <v:fill o:detectmouseclick="t" color2="#4472c4"/>
                <v:stroke color="#02466d" weight="12600" joinstyle="round" endcap="flat"/>
                <v:textbo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EXPÉRIENCES PROFESSIONNELLES</w:t>
                      </w:r>
                    </w:p>
                  </w:txbxContent>
                </v:textbox>
                <w10:wrap type="none"/>
              </v:roundrect>
            </w:pict>
          </mc:Fallback>
        </mc:AlternateContent>
      </w:r>
    </w:p>
    <w:p>
      <w:pPr>
        <w:pStyle w:val="Normal"/>
        <w:rPr/>
      </w:pPr>
      <w:r>
        <w:rPr/>
        <w:t xml:space="preserve"/>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09" w:right="748" w:gutter="0" w:header="283" w:top="851" w:footer="214" w:bottom="1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 w:name="Open Sauce Sans Light">
    <w:charset w:val="01"/>
    <w:family w:val="roman"/>
    <w:pitch w:val="variable"/>
  </w:font>
  <w:font w:name="Callibri">
    <w:charset w:val="01"/>
    <w:family w:val="roman"/>
    <w:pitch w:val="variable"/>
  </w:font>
  <w:font w:name="Clibri">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left" w:pos="7905" w:leader="none"/>
      </w:tabs>
      <w:jc w:val="center"/>
      <w:rPr>
        <w:rFonts w:ascii="Open Sauce Sans Light" w:hAnsi="Open Sauce Sans Light" w:cs="Arial"/>
        <w:bCs/>
        <w:color w:val="002060"/>
        <w:sz w:val="18"/>
        <w:szCs w:val="18"/>
      </w:rPr>
    </w:pPr>
    <w:r>
      <w:rPr>
        <w:rFonts w:cs="Arial" w:ascii="Open Sauce Sans Light" w:hAnsi="Open Sauce Sans Light"/>
        <w:bCs/>
        <w:color w:val="002060"/>
        <w:sz w:val="18"/>
        <w:szCs w:val="18"/>
      </w:rPr>
      <w:t>NAVA ENGINEERING • 9-11 AVENUE MICHELET, 93400 SAINT-OUEN-SUR-SEINE</w:t>
    </w:r>
  </w:p>
  <w:p>
    <w:pPr>
      <w:pStyle w:val="Footer"/>
      <w:jc w:val="center"/>
      <w:rPr>
        <w:rFonts w:ascii="Open Sauce Sans Light" w:hAnsi="Open Sauce Sans Light" w:cs="Arial"/>
        <w:bCs/>
        <w:color w:val="002060"/>
        <w:sz w:val="16"/>
        <w:szCs w:val="16"/>
        <w:lang w:val="it-IT"/>
      </w:rPr>
    </w:pPr>
    <w:r>
      <w:rPr>
        <w:rFonts w:cs="Arial" w:ascii="Open Sauce Sans Light" w:hAnsi="Open Sauce Sans Light"/>
        <w:bCs/>
        <w:color w:val="002060"/>
        <w:sz w:val="16"/>
        <w:szCs w:val="16"/>
        <w:lang w:val="it-IT"/>
      </w:rPr>
      <w:t xml:space="preserve">Simon ZANA • 06 13 53 23 81 • </w:t>
    </w:r>
    <w:r>
      <mc:AlternateContent>
        <mc:Choice Requires="wps">
          <w:drawing>
            <wp:anchor behindDoc="1" distT="1270" distB="0" distL="1270" distR="0" simplePos="0" locked="0" layoutInCell="0" allowOverlap="1" relativeHeight="3">
              <wp:simplePos x="0" y="0"/>
              <wp:positionH relativeFrom="page">
                <wp:posOffset>3596640</wp:posOffset>
              </wp:positionH>
              <wp:positionV relativeFrom="page">
                <wp:posOffset>9914255</wp:posOffset>
              </wp:positionV>
              <wp:extent cx="363855" cy="320675"/>
              <wp:effectExtent l="635" t="635" r="0" b="0"/>
              <wp:wrapNone/>
              <wp:docPr id="15" name="Organigramme : Alternative 1"/>
              <a:graphic xmlns:a="http://schemas.openxmlformats.org/drawingml/2006/main">
                <a:graphicData uri="http://schemas.microsoft.com/office/word/2010/wordprocessingShape">
                  <wps:wsp>
                    <wps:cNvSpPr/>
                    <wps:spPr>
                      <a:xfrm>
                        <a:off x="0" y="0"/>
                        <a:ext cx="363960" cy="320760"/>
                      </a:xfrm>
                      <a:prstGeom prst="flowChartAlternateProcess">
                        <a:avLst/>
                      </a:prstGeom>
                      <a:solidFill>
                        <a:srgbClr val="02466d"/>
                      </a:solidFill>
                      <a:ln w="0">
                        <a:noFill/>
                      </a:ln>
                    </wps:spPr>
                    <wps:style>
                      <a:lnRef idx="0"/>
                      <a:fillRef idx="0"/>
                      <a:effectRef idx="0"/>
                      <a:fontRef idx="minor"/>
                    </wps:style>
                    <wps:txbx>
                      <w:txbxContent>
                        <w:p>
                          <w:pPr>
                            <w:pStyle w:val="Contenudecadre"/>
                            <w:jc w:val="center"/>
                            <w:rPr>
                              <w:color w:val="FFFFFF"/>
                              <w:sz w:val="28"/>
                              <w:szCs w:val="28"/>
                            </w:rPr>
                          </w:pPr>
                          <w:hyperlink r:id="rId1">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wps:txbx>
                    <wps:bodyPr anchor="b">
                      <a:noAutofit/>
                    </wps:bodyPr>
                  </wps:wsp>
                </a:graphicData>
              </a:graphic>
            </wp:anchor>
          </w:drawing>
        </mc:Choice>
        <mc:Fallback>
          <w:pict>
            <v:shapetype id="_x0000_t176" coordsize="21600,21600" o:spt="176" path="m,3600qy@5@6l@0,qx@7@5l21600@1qy@8@9l3600,21600qx@6@8xe">
              <v:stroke joinstyle="miter"/>
              <v:formulas>
                <v:f eqn="sum width 0 3600"/>
                <v:f eqn="sum height 0 3600"/>
                <v:f eqn="prod 3600 2929 10000"/>
                <v:f eqn="sum width 0 @2"/>
                <v:f eqn="sum height 0 @2"/>
                <v:f eqn="sum 3600 0 0"/>
                <v:f eqn="sum 0 3600 3600"/>
                <v:f eqn="sum 3600 @0 0"/>
                <v:f eqn="sum 0 21600 3600"/>
                <v:f eqn="sum 3600 @1 0"/>
              </v:formulas>
              <v:path gradientshapeok="t" o:connecttype="rect" textboxrect="@2,@2,@3,@4"/>
            </v:shapetype>
            <v:shape id="shape_0" ID="Organigramme : Alternative 1" fillcolor="#02466d" stroked="f" o:allowincell="f" style="position:absolute;margin-left:283.2pt;margin-top:780.65pt;width:28.6pt;height:25.2pt;mso-wrap-style:square;v-text-anchor:bottom;mso-position-horizontal-relative:page;mso-position-vertical-relative:page" type="_x0000_t176">
              <v:fill o:detectmouseclick="t" type="solid" color2="#fdb992"/>
              <v:stroke color="#3465a4" joinstyle="round" endcap="flat"/>
              <v:textbox>
                <w:txbxContent>
                  <w:p>
                    <w:pPr>
                      <w:pStyle w:val="Contenudecadre"/>
                      <w:jc w:val="center"/>
                      <w:rPr>
                        <w:color w:val="FFFFFF"/>
                        <w:sz w:val="28"/>
                        <w:szCs w:val="28"/>
                      </w:rPr>
                    </w:pPr>
                    <w:hyperlink r:id="rId2">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v:textbox>
              <w10:wrap type="none"/>
            </v:shape>
          </w:pict>
        </mc:Fallback>
      </mc:AlternateContent>
    </w:r>
    <w:r>
      <w:rPr>
        <w:rStyle w:val="Hyperlink"/>
        <w:rFonts w:eastAsia="" w:cs="Arial" w:ascii="Open Sauce Sans Light" w:hAnsi="Open Sauce Sans Light" w:eastAsiaTheme="majorEastAsia"/>
        <w:bCs/>
        <w:color w:val="002060"/>
        <w:sz w:val="16"/>
        <w:szCs w:val="16"/>
        <w:lang w:val="it-IT"/>
      </w:rPr>
      <w:t>simon.zana@nava-eng.com</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left" w:pos="7905" w:leader="none"/>
      </w:tabs>
      <w:jc w:val="center"/>
      <w:rPr>
        <w:rFonts w:ascii="Open Sauce Sans Light" w:hAnsi="Open Sauce Sans Light" w:cs="Arial"/>
        <w:bCs/>
        <w:color w:val="002060"/>
        <w:sz w:val="18"/>
        <w:szCs w:val="18"/>
      </w:rPr>
    </w:pPr>
    <w:r>
      <w:rPr>
        <w:rFonts w:cs="Arial" w:ascii="Open Sauce Sans Light" w:hAnsi="Open Sauce Sans Light"/>
        <w:bCs/>
        <w:color w:val="002060"/>
        <w:sz w:val="18"/>
        <w:szCs w:val="18"/>
      </w:rPr>
      <w:t>NAVA ENGINEERING • 9-11 AVENUE MICHELET, 93400 SAINT-OUEN-SUR-SEINE</w:t>
    </w:r>
  </w:p>
  <w:p>
    <w:pPr>
      <w:pStyle w:val="Footer"/>
      <w:jc w:val="center"/>
      <w:rPr>
        <w:rFonts w:ascii="Open Sauce Sans Light" w:hAnsi="Open Sauce Sans Light" w:cs="Arial"/>
        <w:bCs/>
        <w:color w:val="002060"/>
        <w:sz w:val="16"/>
        <w:szCs w:val="16"/>
        <w:lang w:val="it-IT"/>
      </w:rPr>
    </w:pPr>
    <w:r>
      <w:rPr>
        <w:rFonts w:cs="Arial" w:ascii="Open Sauce Sans Light" w:hAnsi="Open Sauce Sans Light"/>
        <w:bCs/>
        <w:color w:val="002060"/>
        <w:sz w:val="16"/>
        <w:szCs w:val="16"/>
        <w:lang w:val="it-IT"/>
      </w:rPr>
      <w:t xml:space="preserve">Simon ZANA • 06 13 53 23 81 • </w:t>
    </w:r>
    <w:r>
      <mc:AlternateContent>
        <mc:Choice Requires="wps">
          <w:drawing>
            <wp:anchor behindDoc="1" distT="1270" distB="0" distL="1270" distR="0" simplePos="0" locked="0" layoutInCell="0" allowOverlap="1" relativeHeight="3">
              <wp:simplePos x="0" y="0"/>
              <wp:positionH relativeFrom="page">
                <wp:posOffset>3596640</wp:posOffset>
              </wp:positionH>
              <wp:positionV relativeFrom="page">
                <wp:posOffset>9914255</wp:posOffset>
              </wp:positionV>
              <wp:extent cx="363855" cy="320675"/>
              <wp:effectExtent l="635" t="635" r="0" b="0"/>
              <wp:wrapNone/>
              <wp:docPr id="16" name="Organigramme : Alternative 1"/>
              <a:graphic xmlns:a="http://schemas.openxmlformats.org/drawingml/2006/main">
                <a:graphicData uri="http://schemas.microsoft.com/office/word/2010/wordprocessingShape">
                  <wps:wsp>
                    <wps:cNvSpPr/>
                    <wps:spPr>
                      <a:xfrm>
                        <a:off x="0" y="0"/>
                        <a:ext cx="363960" cy="320760"/>
                      </a:xfrm>
                      <a:prstGeom prst="flowChartAlternateProcess">
                        <a:avLst/>
                      </a:prstGeom>
                      <a:solidFill>
                        <a:srgbClr val="02466d"/>
                      </a:solidFill>
                      <a:ln w="0">
                        <a:noFill/>
                      </a:ln>
                    </wps:spPr>
                    <wps:style>
                      <a:lnRef idx="0"/>
                      <a:fillRef idx="0"/>
                      <a:effectRef idx="0"/>
                      <a:fontRef idx="minor"/>
                    </wps:style>
                    <wps:txbx>
                      <w:txbxContent>
                        <w:p>
                          <w:pPr>
                            <w:pStyle w:val="Contenudecadre"/>
                            <w:jc w:val="center"/>
                            <w:rPr>
                              <w:color w:val="FFFFFF"/>
                              <w:sz w:val="28"/>
                              <w:szCs w:val="28"/>
                            </w:rPr>
                          </w:pPr>
                          <w:hyperlink r:id="rId1">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wps:txbx>
                    <wps:bodyPr anchor="b">
                      <a:noAutofit/>
                    </wps:bodyPr>
                  </wps:wsp>
                </a:graphicData>
              </a:graphic>
            </wp:anchor>
          </w:drawing>
        </mc:Choice>
        <mc:Fallback>
          <w:pict>
            <v:shape id="shape_0" ID="Organigramme : Alternative 1" fillcolor="#02466d" stroked="f" o:allowincell="f" style="position:absolute;margin-left:283.2pt;margin-top:780.65pt;width:28.6pt;height:25.2pt;mso-wrap-style:square;v-text-anchor:bottom;mso-position-horizontal-relative:page;mso-position-vertical-relative:page" type="_x0000_t176">
              <v:fill o:detectmouseclick="t" type="solid" color2="#fdb992"/>
              <v:stroke color="#3465a4" joinstyle="round" endcap="flat"/>
              <v:textbox>
                <w:txbxContent>
                  <w:p>
                    <w:pPr>
                      <w:pStyle w:val="Contenudecadre"/>
                      <w:jc w:val="center"/>
                      <w:rPr>
                        <w:color w:val="FFFFFF"/>
                        <w:sz w:val="28"/>
                        <w:szCs w:val="28"/>
                      </w:rPr>
                    </w:pPr>
                    <w:hyperlink r:id="rId2">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v:textbox>
              <w10:wrap type="none"/>
            </v:shape>
          </w:pict>
        </mc:Fallback>
      </mc:AlternateContent>
    </w:r>
    <w:r>
      <w:rPr>
        <w:rStyle w:val="Hyperlink"/>
        <w:rFonts w:eastAsia="" w:cs="Arial" w:ascii="Open Sauce Sans Light" w:hAnsi="Open Sauce Sans Light" w:eastAsiaTheme="majorEastAsia"/>
        <w:bCs/>
        <w:color w:val="002060"/>
        <w:sz w:val="16"/>
        <w:szCs w:val="16"/>
        <w:lang w:val="it-IT"/>
      </w:rPr>
      <w:t>simon.zana@nava-eng.com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color w:val="002060"/>
        <w:sz w:val="34"/>
        <w:szCs w:val="34"/>
      </w:rPr>
    </w:pPr>
    <w:r>
      <w:drawing>
        <wp:anchor behindDoc="1" distT="0" distB="0" distL="0" distR="0" simplePos="0" locked="0" layoutInCell="0" allowOverlap="1" relativeHeight="2">
          <wp:simplePos x="0" y="0"/>
          <wp:positionH relativeFrom="column">
            <wp:posOffset>-417195</wp:posOffset>
          </wp:positionH>
          <wp:positionV relativeFrom="paragraph">
            <wp:posOffset>-157480</wp:posOffset>
          </wp:positionV>
          <wp:extent cx="1019810" cy="1032510"/>
          <wp:effectExtent l="0" t="0" r="0" b="0"/>
          <wp:wrapSquare wrapText="largest"/>
          <wp:docPr id="1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descr=""/>
                  <pic:cNvPicPr>
                    <a:picLocks noChangeAspect="1" noChangeArrowheads="1"/>
                  </pic:cNvPicPr>
                </pic:nvPicPr>
                <pic:blipFill>
                  <a:blip r:embed="rId1"/>
                  <a:srcRect l="6716" t="6596" r="7558" b="6596"/>
                  <a:stretch>
                    <a:fillRect/>
                  </a:stretch>
                </pic:blipFill>
                <pic:spPr bwMode="auto">
                  <a:xfrm>
                    <a:off x="0" y="0"/>
                    <a:ext cx="1019810" cy="1032510"/>
                  </a:xfrm>
                  <a:prstGeom prst="rect">
                    <a:avLst/>
                  </a:prstGeom>
                </pic:spPr>
              </pic:pic>
            </a:graphicData>
          </a:graphic>
        </wp:anchor>
      </w:drawing>
    </w:r>
    <w:r>
      <w:rPr>
        <w:rFonts w:cs="Calibri" w:ascii="Calibri" w:hAnsi="Calibri"/>
        <w:color w:val="002060"/>
        <w:sz w:val="34"/>
        <w:szCs w:val="32"/>
      </w:rPr>
      <w:t xml:space="preserve">BOU</w:t>
    </w:r>
  </w:p>
  <w:p>
    <w:pPr>
      <w:pStyle w:val="Normal"/>
      <w:jc w:val="right"/>
      <w:rPr>
        <w:rFonts w:ascii="Calibri" w:hAnsi="Calibri" w:cs="Calibri"/>
        <w:b/>
        <w:color w:val="002060"/>
        <w:sz w:val="40"/>
        <w:szCs w:val="40"/>
      </w:rPr>
    </w:pPr>
    <w:r>
      <w:rPr>
        <w:rFonts w:cs="Calibri" w:ascii="Calibri" w:hAnsi="Calibri"/>
        <w:b/>
        <w:color w:val="002060"/>
        <w:sz w:val="40"/>
        <w:szCs w:val="40"/>
      </w:rPr>
      <w:t xml:space="preserve">Architecte Technique – Expert en Automatisation, Middleware et Infrastructures Java EE</w:t>
    </w:r>
  </w:p>
  <w:p>
    <w:pPr>
      <w:pStyle w:val="Normal"/>
      <w:jc w:val="right"/>
      <w:rPr>
        <w:rFonts w:ascii="Calibri" w:hAnsi="Calibri" w:cs="Calibri"/>
        <w:color w:val="002060"/>
        <w:sz w:val="28"/>
      </w:rPr>
    </w:pPr>
    <w:r>
      <w:rPr>
        <w:rFonts w:cs="Calibri" w:ascii="Calibri" w:hAnsi="Calibri"/>
        <w:color w:val="002060"/>
        <w:sz w:val="28"/>
      </w:rPr>
      <w:t xml:space="preserve">24 ans d'expériences</w:t>
    </w:r>
  </w:p>
  <w:p>
    <w:pPr>
      <w:pStyle w:val="Normal"/>
      <w:jc w:val="right"/>
      <w:rPr>
        <w:color w:val="002060"/>
        <w:sz w:val="34"/>
        <w:szCs w:val="34"/>
      </w:rPr>
    </w:pPr>
    <w:r>
      <w:rPr>
        <w:color w:val="002060"/>
        <w:sz w:val="34"/>
        <w:szCs w:val="3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color w:val="002060"/>
        <w:sz w:val="34"/>
        <w:szCs w:val="34"/>
      </w:rPr>
    </w:pPr>
    <w:r>
      <w:drawing>
        <wp:anchor behindDoc="1" distT="0" distB="0" distL="0" distR="0" simplePos="0" locked="0" layoutInCell="0" allowOverlap="1" relativeHeight="2">
          <wp:simplePos x="0" y="0"/>
          <wp:positionH relativeFrom="column">
            <wp:posOffset>-417195</wp:posOffset>
          </wp:positionH>
          <wp:positionV relativeFrom="paragraph">
            <wp:posOffset>-157480</wp:posOffset>
          </wp:positionV>
          <wp:extent cx="1019810" cy="1032510"/>
          <wp:effectExtent l="0" t="0" r="0" b="0"/>
          <wp:wrapSquare wrapText="largest"/>
          <wp:docPr id="1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descr=""/>
                  <pic:cNvPicPr>
                    <a:picLocks noChangeAspect="1" noChangeArrowheads="1"/>
                  </pic:cNvPicPr>
                </pic:nvPicPr>
                <pic:blipFill>
                  <a:blip r:embed="rId1"/>
                  <a:srcRect l="6716" t="6596" r="7558" b="6596"/>
                  <a:stretch>
                    <a:fillRect/>
                  </a:stretch>
                </pic:blipFill>
                <pic:spPr bwMode="auto">
                  <a:xfrm>
                    <a:off x="0" y="0"/>
                    <a:ext cx="1019810" cy="1032510"/>
                  </a:xfrm>
                  <a:prstGeom prst="rect">
                    <a:avLst/>
                  </a:prstGeom>
                </pic:spPr>
              </pic:pic>
            </a:graphicData>
          </a:graphic>
        </wp:anchor>
      </w:drawing>
    </w:r>
    <w:r>
      <w:rPr>
        <w:rFonts w:cs="Calibri" w:ascii="Calibri" w:hAnsi="Calibri"/>
        <w:color w:val="002060"/>
        <w:sz w:val="34"/>
        <w:szCs w:val="32"/>
      </w:rPr>
      <w:t xml:space="preserve">BOU</w:t>
    </w:r>
  </w:p>
  <w:p>
    <w:pPr>
      <w:pStyle w:val="Normal"/>
      <w:jc w:val="right"/>
      <w:rPr>
        <w:rFonts w:ascii="Calibri" w:hAnsi="Calibri" w:cs="Calibri"/>
        <w:b/>
        <w:color w:val="002060"/>
        <w:sz w:val="40"/>
        <w:szCs w:val="40"/>
      </w:rPr>
    </w:pPr>
    <w:r>
      <w:rPr>
        <w:rFonts w:cs="Calibri" w:ascii="Calibri" w:hAnsi="Calibri"/>
        <w:b/>
        <w:color w:val="002060"/>
        <w:sz w:val="40"/>
        <w:szCs w:val="40"/>
      </w:rPr>
      <w:t xml:space="preserve">Architecte Technique – Expert en Automatisation, Middleware et Infrastructures Java EE</w:t>
    </w:r>
  </w:p>
  <w:p>
    <w:pPr>
      <w:pStyle w:val="Normal"/>
      <w:jc w:val="right"/>
      <w:rPr>
        <w:rFonts w:ascii="Calibri" w:hAnsi="Calibri" w:cs="Calibri"/>
        <w:color w:val="002060"/>
        <w:sz w:val="28"/>
      </w:rPr>
    </w:pPr>
    <w:r>
      <w:rPr>
        <w:rFonts w:cs="Calibri" w:ascii="Calibri" w:hAnsi="Calibri"/>
        <w:color w:val="002060"/>
        <w:sz w:val="28"/>
      </w:rPr>
      <w:t xml:space="preserve">24 ans d'expériences</w:t>
    </w:r>
  </w:p>
  <w:p>
    <w:pPr>
      <w:pStyle w:val="Normal"/>
      <w:jc w:val="right"/>
      <w:rPr>
        <w:color w:val="002060"/>
        <w:sz w:val="34"/>
        <w:szCs w:val="34"/>
      </w:rPr>
    </w:pPr>
    <w:r>
      <w:rPr>
        <w:color w:val="002060"/>
        <w:sz w:val="34"/>
        <w:szCs w:val="3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068" w:hanging="360"/>
      </w:pPr>
      <w:rPr>
        <w:rFonts w:ascii="Wingdings" w:hAnsi="Wingdings" w:cs="Wingdings"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Wingdings" w:hAnsi="Wingdings" w:cs="Wingdings" w:hint="default"/>
        <w:sz w:val="22"/>
        <w:szCs w:val="22"/>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sz w:val="22"/>
        <w:szCs w:val="22"/>
      </w:rPr>
    </w:lvl>
    <w:lvl w:ilvl="1">
      <w:start w:val="1"/>
      <w:numFmt w:val="bullet"/>
      <w:lvlText w:val="◦"/>
      <w:lvlJc w:val="left"/>
      <w:pPr>
        <w:tabs>
          <w:tab w:val="num" w:pos="1080"/>
        </w:tabs>
        <w:ind w:left="1080" w:hanging="360"/>
      </w:pPr>
      <w:rPr>
        <w:rFonts w:ascii="OpenSymbol" w:hAnsi="OpenSymbol" w:cs="OpenSymbol" w:hint="default"/>
        <w:sz w:val="22"/>
        <w:szCs w:val="22"/>
      </w:rPr>
    </w:lvl>
    <w:lvl w:ilvl="2">
      <w:start w:val="1"/>
      <w:numFmt w:val="bullet"/>
      <w:lvlText w:val="▪"/>
      <w:lvlJc w:val="left"/>
      <w:pPr>
        <w:tabs>
          <w:tab w:val="num" w:pos="1440"/>
        </w:tabs>
        <w:ind w:left="1440" w:hanging="360"/>
      </w:pPr>
      <w:rPr>
        <w:rFonts w:ascii="OpenSymbol" w:hAnsi="OpenSymbol" w:cs="OpenSymbol" w:hint="default"/>
        <w:sz w:val="22"/>
        <w:szCs w:val="22"/>
      </w:rPr>
    </w:lvl>
    <w:lvl w:ilvl="3">
      <w:start w:val="1"/>
      <w:numFmt w:val="bullet"/>
      <w:lvlText w:val=""/>
      <w:lvlJc w:val="left"/>
      <w:pPr>
        <w:tabs>
          <w:tab w:val="num" w:pos="1800"/>
        </w:tabs>
        <w:ind w:left="1800" w:hanging="360"/>
      </w:pPr>
      <w:rPr>
        <w:rFonts w:ascii="Symbol" w:hAnsi="Symbol" w:cs="Symbol" w:hint="default"/>
        <w:sz w:val="22"/>
        <w:szCs w:val="22"/>
      </w:rPr>
    </w:lvl>
    <w:lvl w:ilvl="4">
      <w:start w:val="1"/>
      <w:numFmt w:val="bullet"/>
      <w:lvlText w:val="◦"/>
      <w:lvlJc w:val="left"/>
      <w:pPr>
        <w:tabs>
          <w:tab w:val="num" w:pos="2160"/>
        </w:tabs>
        <w:ind w:left="2160" w:hanging="360"/>
      </w:pPr>
      <w:rPr>
        <w:rFonts w:ascii="OpenSymbol" w:hAnsi="OpenSymbol" w:cs="OpenSymbol" w:hint="default"/>
        <w:sz w:val="22"/>
        <w:szCs w:val="22"/>
      </w:rPr>
    </w:lvl>
    <w:lvl w:ilvl="5">
      <w:start w:val="1"/>
      <w:numFmt w:val="bullet"/>
      <w:lvlText w:val="▪"/>
      <w:lvlJc w:val="left"/>
      <w:pPr>
        <w:tabs>
          <w:tab w:val="num" w:pos="2520"/>
        </w:tabs>
        <w:ind w:left="2520" w:hanging="360"/>
      </w:pPr>
      <w:rPr>
        <w:rFonts w:ascii="OpenSymbol" w:hAnsi="OpenSymbol" w:cs="OpenSymbol" w:hint="default"/>
        <w:sz w:val="22"/>
        <w:szCs w:val="22"/>
      </w:rPr>
    </w:lvl>
    <w:lvl w:ilvl="6">
      <w:start w:val="1"/>
      <w:numFmt w:val="bullet"/>
      <w:lvlText w:val=""/>
      <w:lvlJc w:val="left"/>
      <w:pPr>
        <w:tabs>
          <w:tab w:val="num" w:pos="2880"/>
        </w:tabs>
        <w:ind w:left="2880" w:hanging="360"/>
      </w:pPr>
      <w:rPr>
        <w:rFonts w:ascii="Symbol" w:hAnsi="Symbol" w:cs="Symbol" w:hint="default"/>
        <w:sz w:val="22"/>
        <w:szCs w:val="22"/>
      </w:rPr>
    </w:lvl>
    <w:lvl w:ilvl="7">
      <w:start w:val="1"/>
      <w:numFmt w:val="bullet"/>
      <w:lvlText w:val="◦"/>
      <w:lvlJc w:val="left"/>
      <w:pPr>
        <w:tabs>
          <w:tab w:val="num" w:pos="3240"/>
        </w:tabs>
        <w:ind w:left="3240" w:hanging="360"/>
      </w:pPr>
      <w:rPr>
        <w:rFonts w:ascii="OpenSymbol" w:hAnsi="OpenSymbol" w:cs="OpenSymbol" w:hint="default"/>
        <w:sz w:val="22"/>
        <w:szCs w:val="22"/>
      </w:rPr>
    </w:lvl>
    <w:lvl w:ilvl="8">
      <w:start w:val="1"/>
      <w:numFmt w:val="bullet"/>
      <w:lvlText w:val="▪"/>
      <w:lvlJc w:val="left"/>
      <w:pPr>
        <w:tabs>
          <w:tab w:val="num" w:pos="3600"/>
        </w:tabs>
        <w:ind w:left="3600" w:hanging="360"/>
      </w:pPr>
      <w:rPr>
        <w:rFonts w:ascii="OpenSymbol" w:hAnsi="OpenSymbol" w:cs="OpenSymbol" w:hint="default"/>
        <w:sz w:val="22"/>
        <w:szCs w:val="22"/>
      </w:rPr>
    </w:lvl>
  </w:abstractNum>
  <w:abstractNum w:abstractNumId="4">
    <w:lvl w:ilvl="0">
      <w:start w:val="1"/>
      <w:numFmt w:val="bullet"/>
      <w:lvlText w:val=""/>
      <w:lvlJc w:val="left"/>
      <w:pPr>
        <w:tabs>
          <w:tab w:val="num" w:pos="720"/>
        </w:tabs>
        <w:ind w:left="720" w:hanging="360"/>
      </w:pPr>
      <w:rPr>
        <w:rFonts w:ascii="Wingdings" w:hAnsi="Wingdings" w:cs="Wingdings" w:hint="default"/>
        <w:sz w:val="22"/>
        <w:szCs w:val="22"/>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720"/>
        </w:tabs>
        <w:ind w:left="720" w:hanging="360"/>
      </w:pPr>
      <w:rPr>
        <w:rFonts w:ascii="Wingdings" w:hAnsi="Wingdings" w:cs="Wingdings" w:hint="default"/>
        <w:sz w:val="22"/>
        <w:szCs w:val="22"/>
      </w:rPr>
    </w:lvl>
    <w:lvl w:ilvl="1">
      <w:start w:val="1"/>
      <w:numFmt w:val="bullet"/>
      <w:lvlText w:val=""/>
      <w:lvlJc w:val="left"/>
      <w:pPr>
        <w:tabs>
          <w:tab w:val="num" w:pos="1080"/>
        </w:tabs>
        <w:ind w:left="1080" w:hanging="360"/>
      </w:pPr>
      <w:rPr>
        <w:rFonts w:ascii="Wingdings" w:hAnsi="Wingdings" w:cs="Wingdings" w:hint="default"/>
        <w:sz w:val="22"/>
        <w:szCs w:val="22"/>
      </w:rPr>
    </w:lvl>
    <w:lvl w:ilvl="2">
      <w:start w:val="1"/>
      <w:numFmt w:val="bullet"/>
      <w:lvlText w:val=""/>
      <w:lvlJc w:val="left"/>
      <w:pPr>
        <w:tabs>
          <w:tab w:val="num" w:pos="1440"/>
        </w:tabs>
        <w:ind w:left="1440" w:hanging="360"/>
      </w:pPr>
      <w:rPr>
        <w:rFonts w:ascii="Wingdings" w:hAnsi="Wingdings" w:cs="Wingdings" w:hint="default"/>
        <w:sz w:val="22"/>
        <w:szCs w:val="22"/>
      </w:rPr>
    </w:lvl>
    <w:lvl w:ilvl="3">
      <w:start w:val="1"/>
      <w:numFmt w:val="bullet"/>
      <w:lvlText w:val=""/>
      <w:lvlJc w:val="left"/>
      <w:pPr>
        <w:tabs>
          <w:tab w:val="num" w:pos="1800"/>
        </w:tabs>
        <w:ind w:left="1800" w:hanging="360"/>
      </w:pPr>
      <w:rPr>
        <w:rFonts w:ascii="Wingdings" w:hAnsi="Wingdings" w:cs="Wingdings" w:hint="default"/>
        <w:sz w:val="22"/>
        <w:szCs w:val="22"/>
      </w:rPr>
    </w:lvl>
    <w:lvl w:ilvl="4">
      <w:start w:val="1"/>
      <w:numFmt w:val="bullet"/>
      <w:lvlText w:val=""/>
      <w:lvlJc w:val="left"/>
      <w:pPr>
        <w:tabs>
          <w:tab w:val="num" w:pos="2160"/>
        </w:tabs>
        <w:ind w:left="2160" w:hanging="360"/>
      </w:pPr>
      <w:rPr>
        <w:rFonts w:ascii="Wingdings" w:hAnsi="Wingdings" w:cs="Wingdings" w:hint="default"/>
        <w:sz w:val="22"/>
        <w:szCs w:val="22"/>
      </w:rPr>
    </w:lvl>
    <w:lvl w:ilvl="5">
      <w:start w:val="1"/>
      <w:numFmt w:val="bullet"/>
      <w:lvlText w:val=""/>
      <w:lvlJc w:val="left"/>
      <w:pPr>
        <w:tabs>
          <w:tab w:val="num" w:pos="2520"/>
        </w:tabs>
        <w:ind w:left="2520" w:hanging="360"/>
      </w:pPr>
      <w:rPr>
        <w:rFonts w:ascii="Wingdings" w:hAnsi="Wingdings" w:cs="Wingdings" w:hint="default"/>
        <w:sz w:val="22"/>
        <w:szCs w:val="22"/>
      </w:rPr>
    </w:lvl>
    <w:lvl w:ilvl="6">
      <w:start w:val="1"/>
      <w:numFmt w:val="bullet"/>
      <w:lvlText w:val=""/>
      <w:lvlJc w:val="left"/>
      <w:pPr>
        <w:tabs>
          <w:tab w:val="num" w:pos="2880"/>
        </w:tabs>
        <w:ind w:left="2880" w:hanging="360"/>
      </w:pPr>
      <w:rPr>
        <w:rFonts w:ascii="Wingdings" w:hAnsi="Wingdings" w:cs="Wingdings" w:hint="default"/>
        <w:sz w:val="22"/>
        <w:szCs w:val="22"/>
      </w:rPr>
    </w:lvl>
    <w:lvl w:ilvl="7">
      <w:start w:val="1"/>
      <w:numFmt w:val="bullet"/>
      <w:lvlText w:val=""/>
      <w:lvlJc w:val="left"/>
      <w:pPr>
        <w:tabs>
          <w:tab w:val="num" w:pos="3240"/>
        </w:tabs>
        <w:ind w:left="3240" w:hanging="360"/>
      </w:pPr>
      <w:rPr>
        <w:rFonts w:ascii="Wingdings" w:hAnsi="Wingdings" w:cs="Wingdings" w:hint="default"/>
        <w:sz w:val="22"/>
        <w:szCs w:val="22"/>
      </w:rPr>
    </w:lvl>
    <w:lvl w:ilvl="8">
      <w:start w:val="1"/>
      <w:numFmt w:val="bullet"/>
      <w:lvlText w:val=""/>
      <w:lvlJc w:val="left"/>
      <w:pPr>
        <w:tabs>
          <w:tab w:val="num" w:pos="3600"/>
        </w:tabs>
        <w:ind w:left="3600" w:hanging="360"/>
      </w:pPr>
      <w:rPr>
        <w:rFonts w:ascii="Wingdings" w:hAnsi="Wingdings" w:cs="Wingdings" w:hint="default"/>
        <w:sz w:val="22"/>
        <w:szCs w:val="22"/>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5"/>
  <w:defaultTabStop w:val="708"/>
  <w:autoHyphenation w:val="true"/>
  <w:hyphenationZone w:val="425"/>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f4571"/>
    <w:pPr>
      <w:widowControl/>
      <w:suppressAutoHyphens w:val="true"/>
      <w:bidi w:val="0"/>
      <w:spacing w:before="0" w:after="0"/>
      <w:jc w:val="left"/>
    </w:pPr>
    <w:rPr>
      <w:rFonts w:ascii="Times New Roman" w:hAnsi="Times New Roman" w:eastAsia="Times New Roman" w:cs="Times New Roman"/>
      <w:color w:val="auto"/>
      <w:kern w:val="0"/>
      <w:sz w:val="24"/>
      <w:szCs w:val="24"/>
      <w:lang w:eastAsia="fr-FR" w:val="fr-FR" w:bidi="ar-SA"/>
    </w:rPr>
  </w:style>
  <w:style w:type="paragraph" w:styleId="Heading1">
    <w:name w:val="Heading 1"/>
    <w:basedOn w:val="Normal"/>
    <w:next w:val="Normal"/>
    <w:link w:val="Titre1Car"/>
    <w:uiPriority w:val="9"/>
    <w:qFormat/>
    <w:rsid w:val="00cf4571"/>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itre2Car"/>
    <w:uiPriority w:val="9"/>
    <w:semiHidden/>
    <w:unhideWhenUsed/>
    <w:qFormat/>
    <w:rsid w:val="00cf4571"/>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itre3Car"/>
    <w:uiPriority w:val="9"/>
    <w:semiHidden/>
    <w:unhideWhenUsed/>
    <w:qFormat/>
    <w:rsid w:val="00cf4571"/>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itre4Car"/>
    <w:uiPriority w:val="9"/>
    <w:semiHidden/>
    <w:unhideWhenUsed/>
    <w:qFormat/>
    <w:rsid w:val="00cf4571"/>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itre5Car"/>
    <w:uiPriority w:val="9"/>
    <w:semiHidden/>
    <w:unhideWhenUsed/>
    <w:qFormat/>
    <w:rsid w:val="00cf4571"/>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itre6Car"/>
    <w:uiPriority w:val="9"/>
    <w:semiHidden/>
    <w:unhideWhenUsed/>
    <w:qFormat/>
    <w:rsid w:val="00cf457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cf457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cf457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cf457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9"/>
    <w:qFormat/>
    <w:rsid w:val="00cf4571"/>
    <w:rPr>
      <w:rFonts w:ascii="Calibri Light" w:hAnsi="Calibri Light" w:eastAsia="" w:cs="" w:asciiTheme="majorHAnsi" w:cstheme="majorBidi" w:eastAsiaTheme="majorEastAsia" w:hAnsiTheme="majorHAnsi"/>
      <w:color w:themeColor="accent1" w:themeShade="bf" w:val="2F5496"/>
      <w:sz w:val="40"/>
      <w:szCs w:val="40"/>
    </w:rPr>
  </w:style>
  <w:style w:type="character" w:styleId="Titre2Car" w:customStyle="1">
    <w:name w:val="Titre 2 Car"/>
    <w:basedOn w:val="DefaultParagraphFont"/>
    <w:uiPriority w:val="9"/>
    <w:semiHidden/>
    <w:qFormat/>
    <w:rsid w:val="00cf4571"/>
    <w:rPr>
      <w:rFonts w:ascii="Calibri Light" w:hAnsi="Calibri Light" w:eastAsia="" w:cs="" w:asciiTheme="majorHAnsi" w:cstheme="majorBidi" w:eastAsiaTheme="majorEastAsia" w:hAnsiTheme="majorHAnsi"/>
      <w:color w:themeColor="accent1" w:themeShade="bf" w:val="2F5496"/>
      <w:sz w:val="32"/>
      <w:szCs w:val="32"/>
    </w:rPr>
  </w:style>
  <w:style w:type="character" w:styleId="Titre3Car" w:customStyle="1">
    <w:name w:val="Titre 3 Car"/>
    <w:basedOn w:val="DefaultParagraphFont"/>
    <w:uiPriority w:val="9"/>
    <w:semiHidden/>
    <w:qFormat/>
    <w:rsid w:val="00cf4571"/>
    <w:rPr>
      <w:rFonts w:eastAsia="" w:cs="" w:cstheme="majorBidi" w:eastAsiaTheme="majorEastAsia"/>
      <w:color w:themeColor="accent1" w:themeShade="bf" w:val="2F5496"/>
      <w:sz w:val="28"/>
      <w:szCs w:val="28"/>
    </w:rPr>
  </w:style>
  <w:style w:type="character" w:styleId="Titre4Car" w:customStyle="1">
    <w:name w:val="Titre 4 Car"/>
    <w:basedOn w:val="DefaultParagraphFont"/>
    <w:uiPriority w:val="9"/>
    <w:semiHidden/>
    <w:qFormat/>
    <w:rsid w:val="00cf4571"/>
    <w:rPr>
      <w:rFonts w:eastAsia="" w:cs="" w:cstheme="majorBidi" w:eastAsiaTheme="majorEastAsia"/>
      <w:i/>
      <w:iCs/>
      <w:color w:themeColor="accent1" w:themeShade="bf" w:val="2F5496"/>
    </w:rPr>
  </w:style>
  <w:style w:type="character" w:styleId="Titre5Car" w:customStyle="1">
    <w:name w:val="Titre 5 Car"/>
    <w:basedOn w:val="DefaultParagraphFont"/>
    <w:uiPriority w:val="9"/>
    <w:semiHidden/>
    <w:qFormat/>
    <w:rsid w:val="00cf4571"/>
    <w:rPr>
      <w:rFonts w:eastAsia="" w:cs="" w:cstheme="majorBidi" w:eastAsiaTheme="majorEastAsia"/>
      <w:color w:themeColor="accent1" w:themeShade="bf" w:val="2F5496"/>
    </w:rPr>
  </w:style>
  <w:style w:type="character" w:styleId="Titre6Car" w:customStyle="1">
    <w:name w:val="Titre 6 Car"/>
    <w:basedOn w:val="DefaultParagraphFont"/>
    <w:uiPriority w:val="9"/>
    <w:semiHidden/>
    <w:qFormat/>
    <w:rsid w:val="00cf4571"/>
    <w:rPr>
      <w:rFonts w:eastAsia="" w:cs="" w:cstheme="majorBidi" w:eastAsiaTheme="majorEastAsia"/>
      <w:i/>
      <w:iCs/>
      <w:color w:themeColor="text1" w:themeTint="a6" w:val="595959"/>
    </w:rPr>
  </w:style>
  <w:style w:type="character" w:styleId="Titre7Car" w:customStyle="1">
    <w:name w:val="Titre 7 Car"/>
    <w:basedOn w:val="DefaultParagraphFont"/>
    <w:uiPriority w:val="9"/>
    <w:semiHidden/>
    <w:qFormat/>
    <w:rsid w:val="00cf4571"/>
    <w:rPr>
      <w:rFonts w:eastAsia="" w:cs="" w:cstheme="majorBidi" w:eastAsiaTheme="majorEastAsia"/>
      <w:color w:themeColor="text1" w:themeTint="a6" w:val="595959"/>
    </w:rPr>
  </w:style>
  <w:style w:type="character" w:styleId="Titre8Car" w:customStyle="1">
    <w:name w:val="Titre 8 Car"/>
    <w:basedOn w:val="DefaultParagraphFont"/>
    <w:uiPriority w:val="9"/>
    <w:semiHidden/>
    <w:qFormat/>
    <w:rsid w:val="00cf4571"/>
    <w:rPr>
      <w:rFonts w:eastAsia="" w:cs="" w:cstheme="majorBidi" w:eastAsiaTheme="majorEastAsia"/>
      <w:i/>
      <w:iCs/>
      <w:color w:themeColor="text1" w:themeTint="d8" w:val="272727"/>
    </w:rPr>
  </w:style>
  <w:style w:type="character" w:styleId="Titre9Car" w:customStyle="1">
    <w:name w:val="Titre 9 Car"/>
    <w:basedOn w:val="DefaultParagraphFont"/>
    <w:uiPriority w:val="9"/>
    <w:semiHidden/>
    <w:qFormat/>
    <w:rsid w:val="00cf4571"/>
    <w:rPr>
      <w:rFonts w:eastAsia="" w:cs="" w:cstheme="majorBidi" w:eastAsiaTheme="majorEastAsia"/>
      <w:color w:themeColor="text1" w:themeTint="d8" w:val="272727"/>
    </w:rPr>
  </w:style>
  <w:style w:type="character" w:styleId="TitreCar" w:customStyle="1">
    <w:name w:val="Titre Car"/>
    <w:basedOn w:val="DefaultParagraphFont"/>
    <w:uiPriority w:val="10"/>
    <w:qFormat/>
    <w:rsid w:val="00cf4571"/>
    <w:rPr>
      <w:rFonts w:ascii="Calibri Light" w:hAnsi="Calibri Light"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qFormat/>
    <w:rsid w:val="00cf4571"/>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cf4571"/>
    <w:rPr>
      <w:i/>
      <w:iCs/>
      <w:color w:themeColor="text1" w:themeTint="bf" w:val="404040"/>
    </w:rPr>
  </w:style>
  <w:style w:type="character" w:styleId="IntenseEmphasis">
    <w:name w:val="Intense Emphasis"/>
    <w:basedOn w:val="DefaultParagraphFont"/>
    <w:uiPriority w:val="21"/>
    <w:qFormat/>
    <w:rsid w:val="00cf4571"/>
    <w:rPr>
      <w:i/>
      <w:iCs/>
      <w:color w:themeColor="accent1" w:themeShade="bf" w:val="2F5496"/>
    </w:rPr>
  </w:style>
  <w:style w:type="character" w:styleId="CitationintenseCar" w:customStyle="1">
    <w:name w:val="Citation intense Car"/>
    <w:basedOn w:val="DefaultParagraphFont"/>
    <w:link w:val="IntenseQuote"/>
    <w:uiPriority w:val="30"/>
    <w:qFormat/>
    <w:rsid w:val="00cf4571"/>
    <w:rPr>
      <w:i/>
      <w:iCs/>
      <w:color w:themeColor="accent1" w:themeShade="bf" w:val="2F5496"/>
    </w:rPr>
  </w:style>
  <w:style w:type="character" w:styleId="IntenseReference">
    <w:name w:val="Intense Reference"/>
    <w:basedOn w:val="DefaultParagraphFont"/>
    <w:uiPriority w:val="32"/>
    <w:qFormat/>
    <w:rsid w:val="00cf4571"/>
    <w:rPr>
      <w:b/>
      <w:bCs/>
      <w:smallCaps/>
      <w:color w:themeColor="accent1" w:themeShade="bf" w:val="2F5496"/>
      <w:spacing w:val="5"/>
    </w:rPr>
  </w:style>
  <w:style w:type="character" w:styleId="PieddepageCar" w:customStyle="1">
    <w:name w:val="Pied de page Car"/>
    <w:basedOn w:val="DefaultParagraphFont"/>
    <w:uiPriority w:val="99"/>
    <w:qFormat/>
    <w:rsid w:val="00cf4571"/>
    <w:rPr>
      <w:rFonts w:ascii="Times New Roman" w:hAnsi="Times New Roman" w:eastAsia="Times New Roman" w:cs="Times New Roman"/>
      <w:sz w:val="24"/>
      <w:szCs w:val="24"/>
      <w:lang w:eastAsia="fr-FR"/>
    </w:rPr>
  </w:style>
  <w:style w:type="character" w:styleId="Hyperlink">
    <w:name w:val="Hyperlink"/>
    <w:uiPriority w:val="99"/>
    <w:rsid w:val="00cf4571"/>
    <w:rPr>
      <w:color w:val="0000FF"/>
      <w:u w:val="single"/>
    </w:rPr>
  </w:style>
  <w:style w:type="character" w:styleId="CorpsdetexteCar" w:customStyle="1">
    <w:name w:val="Corps de texte Car"/>
    <w:qFormat/>
    <w:rsid w:val="00cf4571"/>
    <w:rPr>
      <w:sz w:val="24"/>
      <w:szCs w:val="24"/>
    </w:rPr>
  </w:style>
  <w:style w:type="character" w:styleId="CorpsdetexteCar1" w:customStyle="1">
    <w:name w:val="Corps de texte Car1"/>
    <w:basedOn w:val="DefaultParagraphFont"/>
    <w:uiPriority w:val="99"/>
    <w:semiHidden/>
    <w:qFormat/>
    <w:rsid w:val="00cf4571"/>
    <w:rPr>
      <w:rFonts w:ascii="Times New Roman" w:hAnsi="Times New Roman" w:eastAsia="Times New Roman" w:cs="Times New Roman"/>
      <w:sz w:val="24"/>
      <w:szCs w:val="24"/>
      <w:lang w:eastAsia="fr-FR"/>
    </w:rPr>
  </w:style>
  <w:style w:type="character" w:styleId="En-tteCar" w:customStyle="1">
    <w:name w:val="En-tête Car"/>
    <w:basedOn w:val="DefaultParagraphFont"/>
    <w:uiPriority w:val="99"/>
    <w:qFormat/>
    <w:rsid w:val="00cf4571"/>
    <w:rPr>
      <w:rFonts w:ascii="Times New Roman" w:hAnsi="Times New Roman" w:eastAsia="Times New Roman" w:cs="Times New Roman"/>
      <w:sz w:val="24"/>
      <w:szCs w:val="24"/>
      <w:lang w:eastAsia="fr-FR"/>
    </w:rPr>
  </w:style>
  <w:style w:type="character" w:styleId="Puces" w:customStyle="1">
    <w:name w:val="Puces"/>
    <w:qFormat/>
    <w:rPr>
      <w:rFonts w:ascii="Calibri" w:hAnsi="Calibri" w:eastAsia="OpenSymbol" w:cs="OpenSymbol"/>
      <w:sz w:val="22"/>
      <w:szCs w:val="22"/>
    </w:rPr>
  </w:style>
  <w:style w:type="character" w:styleId="Caractresdenumrotation" w:customStyle="1">
    <w:name w:val="Caractères de numérotation"/>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sdetexteCar"/>
    <w:rsid w:val="00cf4571"/>
    <w:pPr>
      <w:overflowPunct w:val="true"/>
      <w:spacing w:before="0" w:after="120"/>
    </w:pPr>
    <w:rPr>
      <w:rFonts w:ascii="Calibri" w:hAnsi="Calibri" w:eastAsia="Calibri" w:cs="" w:asciiTheme="minorHAnsi" w:cstheme="minorBidi" w:eastAsiaTheme="minorHAnsi" w:hAnsiTheme="minorHAnsi"/>
      <w:lang w:eastAsia="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Title">
    <w:name w:val="Title"/>
    <w:basedOn w:val="Normal"/>
    <w:next w:val="BodyText"/>
    <w:link w:val="TitreCar"/>
    <w:uiPriority w:val="10"/>
    <w:qFormat/>
    <w:rsid w:val="00cf4571"/>
    <w:pPr>
      <w:spacing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cf4571"/>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cf4571"/>
    <w:pPr>
      <w:spacing w:before="160" w:after="0"/>
      <w:jc w:val="center"/>
    </w:pPr>
    <w:rPr>
      <w:i/>
      <w:iCs/>
      <w:color w:themeColor="text1" w:themeTint="bf" w:val="404040"/>
    </w:rPr>
  </w:style>
  <w:style w:type="paragraph" w:styleId="ListParagraph">
    <w:name w:val="List Paragraph"/>
    <w:basedOn w:val="Normal"/>
    <w:uiPriority w:val="34"/>
    <w:qFormat/>
    <w:rsid w:val="00cf4571"/>
    <w:pPr>
      <w:spacing w:before="0" w:after="0"/>
      <w:ind w:left="720"/>
      <w:contextualSpacing/>
    </w:pPr>
    <w:rPr/>
  </w:style>
  <w:style w:type="paragraph" w:styleId="IntenseQuote">
    <w:name w:val="Intense Quote"/>
    <w:basedOn w:val="Normal"/>
    <w:next w:val="Normal"/>
    <w:link w:val="CitationintenseCar"/>
    <w:uiPriority w:val="30"/>
    <w:qFormat/>
    <w:rsid w:val="00cf4571"/>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En-tteetpieddepage" w:customStyle="1">
    <w:name w:val="En-tête et pied de page"/>
    <w:basedOn w:val="Normal"/>
    <w:qFormat/>
    <w:pPr/>
    <w:rPr/>
  </w:style>
  <w:style w:type="paragraph" w:styleId="Footer">
    <w:name w:val="Footer"/>
    <w:basedOn w:val="Normal"/>
    <w:link w:val="PieddepageCar"/>
    <w:uiPriority w:val="99"/>
    <w:rsid w:val="00cf4571"/>
    <w:pPr>
      <w:tabs>
        <w:tab w:val="clear" w:pos="708"/>
        <w:tab w:val="center" w:pos="4536" w:leader="none"/>
        <w:tab w:val="right" w:pos="9072" w:leader="none"/>
      </w:tabs>
    </w:pPr>
    <w:rPr/>
  </w:style>
  <w:style w:type="paragraph" w:styleId="Contenudecadre" w:customStyle="1">
    <w:name w:val="Contenu de cadre"/>
    <w:basedOn w:val="Normal"/>
    <w:qFormat/>
    <w:rsid w:val="00cf4571"/>
    <w:pPr>
      <w:overflowPunct w:val="true"/>
    </w:pPr>
    <w:rPr/>
  </w:style>
  <w:style w:type="paragraph" w:styleId="Header">
    <w:name w:val="Header"/>
    <w:basedOn w:val="Normal"/>
    <w:link w:val="En-tteCar"/>
    <w:uiPriority w:val="99"/>
    <w:unhideWhenUsed/>
    <w:rsid w:val="00cf4571"/>
    <w:pPr>
      <w:tabs>
        <w:tab w:val="clear" w:pos="708"/>
        <w:tab w:val="center" w:pos="4536" w:leader="none"/>
        <w:tab w:val="right" w:pos="9072" w:leader="none"/>
      </w:tabs>
    </w:pPr>
    <w:rPr/>
  </w:style>
  <w:style w:type="paragraph" w:styleId="Texteprformat" w:customStyle="1">
    <w:name w:val="Texte préformaté"/>
    <w:basedOn w:val="Normal"/>
    <w:qFormat/>
    <w:pPr/>
    <w:rPr>
      <w:rFonts w:ascii="Liberation Mono" w:hAnsi="Liberation Mono" w:eastAsia="Liberation Mono" w:cs="Liberation Mono"/>
      <w:sz w:val="20"/>
      <w:szCs w:val="20"/>
    </w:rPr>
  </w:style>
  <w:style w:type="paragraph" w:styleId="Contenudetableau" w:customStyle="1">
    <w:name w:val="Contenu de tableau"/>
    <w:basedOn w:val="Normal"/>
    <w:qFormat/>
    <w:pPr>
      <w:widowControl w:val="false"/>
      <w:suppressLineNumbers/>
    </w:pPr>
    <w:rPr/>
  </w:style>
  <w:style w:type="paragraph" w:styleId="Titredetableau" w:customStyle="1">
    <w:name w:val="Titre de tableau"/>
    <w:basedOn w:val="Contenudetableau"/>
    <w:qFormat/>
    <w:pPr>
      <w:jc w:val="center"/>
    </w:pPr>
    <w:rPr>
      <w:b/>
      <w:bCs/>
    </w:rPr>
  </w:style>
  <w:style w:type="numbering" w:styleId="Pasdeliste" w:customStyle="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simon.zana@digital4b.com" TargetMode="External"/><Relationship Id="rId2" Type="http://schemas.openxmlformats.org/officeDocument/2006/relationships/hyperlink" Target="mailto:simon.zana@digital4b.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simon.zana@digital4b.com" TargetMode="External"/><Relationship Id="rId2" Type="http://schemas.openxmlformats.org/officeDocument/2006/relationships/hyperlink" Target="mailto:simon.zana@digital4b.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ages>1</Pages>
  <Words>195</Words>
  <Characters>1054</Characters>
  <CharactersWithSpaces>1203</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2026-01-28T07:43:00Z</dcterms:created>
  <dc:creator>Lucas Buixuanhy</dc:creator>
  <dc:description/>
  <dc:language>fr-FR</dc:language>
  <cp:lastModifiedBy/>
  <dcterms:modified xsi:type="dcterms:W3CDTF">2026-02-03T13:41:17Z</dcterms:modified>
  <cp:revision>3</cp:revision>
  <dc:subject/>
  <dc:title/>
  <dc:identifier/>
</cp:coreProperties>
</file>

<file path=docProps/custom.xml><?xml version="1.0" encoding="utf-8"?>
<Properties xmlns="http://schemas.openxmlformats.org/officeDocument/2006/custom-properties" xmlns:vt="http://schemas.openxmlformats.org/officeDocument/2006/docPropsVTypes"/>
</file>