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641F83" w:rsidP="00BE60C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the odds (</w:t>
            </w:r>
            <w:proofErr w:type="spellStart"/>
            <w:r>
              <w:rPr>
                <w:color w:val="0000FF"/>
                <w:sz w:val="24"/>
                <w:szCs w:val="24"/>
              </w:rPr>
              <w:t>win+lose</w:t>
            </w:r>
            <w:proofErr w:type="spellEnd"/>
            <w:r>
              <w:rPr>
                <w:color w:val="0000FF"/>
                <w:sz w:val="24"/>
                <w:szCs w:val="24"/>
              </w:rPr>
              <w:t>) ratio of the game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641F83" w:rsidP="00B5059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641F83">
              <w:rPr>
                <w:color w:val="0000FF"/>
                <w:sz w:val="24"/>
                <w:szCs w:val="24"/>
              </w:rPr>
              <w:t>T004: Game odds ratio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641F83" w:rsidP="00641F8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game winning and losing rate should be approximately equal to 0.42.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059B" w:rsidRPr="00A11301" w:rsidRDefault="007D7B67" w:rsidP="00B5059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Run the program </w:t>
            </w:r>
            <w:r w:rsidR="00B5059B">
              <w:rPr>
                <w:color w:val="0000FF"/>
                <w:sz w:val="24"/>
                <w:szCs w:val="24"/>
              </w:rPr>
              <w:t>with the pre-entered player’s details.</w:t>
            </w:r>
            <w:r w:rsidR="00641F83">
              <w:rPr>
                <w:color w:val="0000FF"/>
                <w:sz w:val="24"/>
                <w:szCs w:val="24"/>
              </w:rPr>
              <w:t xml:space="preserve"> Do not apply fix from T001 bug resolution.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B5059B" w:rsidP="00641F83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game </w:t>
            </w:r>
            <w:r w:rsidR="00641F83">
              <w:rPr>
                <w:color w:val="0000FF"/>
                <w:sz w:val="24"/>
                <w:szCs w:val="24"/>
              </w:rPr>
              <w:t>win/lose ratio should approximately equal to 0.42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641F83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This reported bug was fixed with the bug resolution T001. Without the T001, we can observe T004 bug at the game final report.</w:t>
            </w:r>
            <w:r w:rsidR="004D009E">
              <w:rPr>
                <w:b/>
                <w:bCs/>
                <w:color w:val="FF0000"/>
                <w:sz w:val="24"/>
              </w:rPr>
              <w:t xml:space="preserve"> Static replication available in T004.java</w:t>
            </w:r>
            <w:bookmarkStart w:id="0" w:name="_GoBack"/>
            <w:bookmarkEnd w:id="0"/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program pre-entered player’s details: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name = “Fred”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Balance = 100</w:t>
            </w:r>
          </w:p>
          <w:p w:rsidR="00B5059B" w:rsidRPr="00854E58" w:rsidRDefault="00AF644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Limit = 0</w:t>
            </w:r>
          </w:p>
        </w:tc>
        <w:tc>
          <w:tcPr>
            <w:tcW w:w="5596" w:type="dxa"/>
          </w:tcPr>
          <w:p w:rsidR="00DF1585" w:rsidRDefault="00BE60C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show the result for 100 games.</w:t>
            </w:r>
          </w:p>
        </w:tc>
        <w:tc>
          <w:tcPr>
            <w:tcW w:w="714" w:type="dxa"/>
          </w:tcPr>
          <w:p w:rsidR="00DF1585" w:rsidRDefault="00AF644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641F8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game final report of winning and losing turns. The ratio is displayed.</w:t>
            </w:r>
          </w:p>
        </w:tc>
        <w:tc>
          <w:tcPr>
            <w:tcW w:w="5596" w:type="dxa"/>
          </w:tcPr>
          <w:p w:rsidR="00DF1585" w:rsidRDefault="00641F8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ratio should approximately equal to 0.42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641F83">
            <w:pPr>
              <w:pStyle w:val="RowHeadings"/>
              <w:spacing w:before="80" w:after="80"/>
            </w:pPr>
            <w: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 w:rsidTr="00F216A1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F216A1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F216A1" w:rsidTr="00F216A1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:rsidR="00F216A1" w:rsidRPr="00572CE5" w:rsidRDefault="00F216A1" w:rsidP="00F216A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:rsidR="00F216A1" w:rsidRPr="00572CE5" w:rsidRDefault="00F216A1" w:rsidP="00F216A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  <w:r>
              <w:t>“</w:t>
            </w:r>
            <w:proofErr w:type="spellStart"/>
            <w:r>
              <w:t>TestPlayer</w:t>
            </w:r>
            <w:proofErr w:type="spellEnd"/>
            <w:r>
              <w:t>”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</w:tr>
      <w:tr w:rsidR="00F216A1" w:rsidTr="00F216A1">
        <w:tc>
          <w:tcPr>
            <w:tcW w:w="2409" w:type="dxa"/>
            <w:shd w:val="clear" w:color="auto" w:fill="E0E0E0"/>
          </w:tcPr>
          <w:p w:rsidR="00F216A1" w:rsidRPr="00572CE5" w:rsidRDefault="00F216A1" w:rsidP="00F216A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17" w:type="dxa"/>
            <w:shd w:val="clear" w:color="auto" w:fill="auto"/>
          </w:tcPr>
          <w:p w:rsidR="00F216A1" w:rsidRPr="00572CE5" w:rsidRDefault="00F216A1" w:rsidP="00F216A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</w:t>
            </w: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  <w:r>
              <w:t>20</w:t>
            </w: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</w:tr>
      <w:tr w:rsidR="00F216A1" w:rsidTr="00F216A1">
        <w:tc>
          <w:tcPr>
            <w:tcW w:w="2409" w:type="dxa"/>
            <w:shd w:val="clear" w:color="auto" w:fill="E0E0E0"/>
          </w:tcPr>
          <w:p w:rsidR="00F216A1" w:rsidRPr="00572CE5" w:rsidRDefault="00F216A1" w:rsidP="00F216A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17" w:type="dxa"/>
            <w:shd w:val="clear" w:color="auto" w:fill="auto"/>
          </w:tcPr>
          <w:p w:rsidR="00F216A1" w:rsidRPr="00572CE5" w:rsidRDefault="00F216A1" w:rsidP="00F216A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</w:tr>
      <w:tr w:rsidR="00F216A1" w:rsidTr="00F216A1">
        <w:tc>
          <w:tcPr>
            <w:tcW w:w="2409" w:type="dxa"/>
            <w:shd w:val="clear" w:color="auto" w:fill="E0E0E0"/>
          </w:tcPr>
          <w:p w:rsidR="00F216A1" w:rsidRDefault="00F216A1" w:rsidP="00F216A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17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F073F1" w:rsidRDefault="00F073F1" w:rsidP="00780A9A">
      <w:pPr>
        <w:pStyle w:val="bp"/>
        <w:spacing w:before="0" w:after="0"/>
      </w:pPr>
      <w:r>
        <w:t>As we can see in the screenshots, the ratio is always different and not even close to 0.42.</w:t>
      </w:r>
    </w:p>
    <w:p w:rsidR="00F073F1" w:rsidRDefault="00F073F1" w:rsidP="00780A9A">
      <w:pPr>
        <w:pStyle w:val="bp"/>
        <w:spacing w:before="0" w:after="0"/>
      </w:pPr>
    </w:p>
    <w:p w:rsidR="0004651B" w:rsidRDefault="00F216A1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4663091D" wp14:editId="30AC298A">
            <wp:extent cx="307657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A1" w:rsidRDefault="00F216A1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2E5749A5" wp14:editId="45146D75">
            <wp:extent cx="286702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A1" w:rsidRDefault="00F216A1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2547BBD4" wp14:editId="17F4F66F">
            <wp:extent cx="2867025" cy="64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9E" w:rsidRDefault="004D009E" w:rsidP="00374830">
      <w:pPr>
        <w:pStyle w:val="bp"/>
        <w:spacing w:before="0" w:after="0"/>
      </w:pPr>
    </w:p>
    <w:p w:rsidR="004D009E" w:rsidRDefault="004D009E" w:rsidP="00374830">
      <w:pPr>
        <w:pStyle w:val="bp"/>
        <w:spacing w:before="0" w:after="0"/>
      </w:pPr>
    </w:p>
    <w:sectPr w:rsidR="004D009E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AE3" w:rsidRDefault="00AC5AE3">
      <w:r>
        <w:separator/>
      </w:r>
    </w:p>
  </w:endnote>
  <w:endnote w:type="continuationSeparator" w:id="0">
    <w:p w:rsidR="00AC5AE3" w:rsidRDefault="00AC5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009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D009E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AE3" w:rsidRDefault="00AC5AE3">
      <w:r>
        <w:separator/>
      </w:r>
    </w:p>
  </w:footnote>
  <w:footnote w:type="continuationSeparator" w:id="0">
    <w:p w:rsidR="00AC5AE3" w:rsidRDefault="00AC5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6576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009E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41F83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D7B67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C5AE3"/>
    <w:rsid w:val="00AD452D"/>
    <w:rsid w:val="00AF6443"/>
    <w:rsid w:val="00B12289"/>
    <w:rsid w:val="00B137E9"/>
    <w:rsid w:val="00B3013D"/>
    <w:rsid w:val="00B3144A"/>
    <w:rsid w:val="00B5059B"/>
    <w:rsid w:val="00B5620B"/>
    <w:rsid w:val="00B71A35"/>
    <w:rsid w:val="00BA717F"/>
    <w:rsid w:val="00BE60C2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073F1"/>
    <w:rsid w:val="00F216A1"/>
    <w:rsid w:val="00F30EEB"/>
    <w:rsid w:val="00F45076"/>
    <w:rsid w:val="00F909B2"/>
    <w:rsid w:val="00FA6E0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AC5A90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85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christopher alejandro navarro atarama</cp:lastModifiedBy>
  <cp:revision>5</cp:revision>
  <cp:lastPrinted>2003-10-05T22:49:00Z</cp:lastPrinted>
  <dcterms:created xsi:type="dcterms:W3CDTF">2015-07-22T01:48:00Z</dcterms:created>
  <dcterms:modified xsi:type="dcterms:W3CDTF">2017-10-11T23:44:00Z</dcterms:modified>
</cp:coreProperties>
</file>