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Rishikesh Learning Residency</w:t>
      </w:r>
    </w:p>
    <w:p>
      <w:pPr>
        <w:pStyle w:val="Heading1"/>
      </w:pPr>
      <w:r>
        <w:t>Working business plan and first-cohort brief</w:t>
      </w:r>
    </w:p>
    <w:p>
      <w:r>
        <w:rPr>
          <w:b/>
        </w:rPr>
        <w:t>Status:</w:t>
      </w:r>
      <w:r>
        <w:t xml:space="preserve"> Working draft for discussion. Prices, suppliers, dates, venue, and activity arrangements are not yet confirmed.</w:t>
      </w:r>
    </w:p>
    <w:p>
      <w:pPr>
        <w:pStyle w:val="Heading2"/>
      </w:pPr>
      <w:r>
        <w:t>The idea</w:t>
      </w:r>
    </w:p>
    <w:p>
      <w:r>
        <w:t>A 30-day, self-directed learning residency in Rishikesh for people who want to make deliberate progress on a technical skill or project, especially people between jobs. Participants bring their own learning material and goals. We provide a place to focus, a small community of peers, regular progress check-ins, and optional ways to spend time outdoors or explore Rishikesh.</w:t>
      </w:r>
    </w:p>
    <w:p>
      <w:r>
        <w:t xml:space="preserve">The core idea is simple: </w:t>
      </w:r>
      <w:r>
        <w:rPr>
          <w:b/>
        </w:rPr>
        <w:t>choose something worthwhile to learn, make a plan, work on it alongside other people, and use the month well.</w:t>
      </w:r>
      <w:r>
        <w:t xml:space="preserve"> It is not a bootcamp, a job-placement programme, a formal course, or a yoga retreat. There is no fixed curriculum and no promise of a job or certification.</w:t>
      </w:r>
    </w:p>
    <w:p>
      <w:pPr>
        <w:pStyle w:val="Heading2"/>
      </w:pPr>
      <w:r>
        <w:t>Who it is for</w:t>
      </w:r>
    </w:p>
    <w:p>
      <w:r>
        <w:t>The first cohort is aimed at software engineers and other technology professionals between jobs who want to use the gap deliberately rather than drift through it. It can also suit someone taking a planned break or focusing on a project. Participants may be learning AI, backend engineering, distributed systems, full-stack or frontend development, taking an online course, or building something of their own.</w:t>
      </w:r>
    </w:p>
    <w:p>
      <w:r>
        <w:t>The community is already oriented around people learning these skills independently while looking for work or making their next move. The residency gives that activity a place, a time window, and people to do it with.</w:t>
      </w:r>
    </w:p>
    <w:p>
      <w:pPr>
        <w:pStyle w:val="Heading2"/>
      </w:pPr>
      <w:r>
        <w:t>How the month works</w:t>
      </w:r>
    </w:p>
    <w:p>
      <w:r>
        <w:t xml:space="preserve">Before arriving, each participant chooses a learning goal and creates a track using </w:t>
      </w:r>
      <w:hyperlink r:id="rId11">
        <w:r>
          <w:rPr>
            <w:color w:val="176B68"/>
            <w:u w:val="single"/>
          </w:rPr>
          <w:t>studycoach.diy</w:t>
        </w:r>
      </w:hyperlink>
      <w:r>
        <w:t>. They use their own books, documentation, courses, projects, and other resources; the residency does not provide a proprietary course library. A participant's plan should make the goal concrete enough to work on and review. A useful starting commitment is at least 20 hours of focused study or building each week.</w:t>
      </w:r>
    </w:p>
    <w:p>
      <w:r>
        <w:t>Peers and the host check in on progress. This should create accountability without turning the residency into school: no daily lectures, grades, or rigid timetable. The group can share progress, ask for help, work quietly together, and show what they built at the end. A participant can change their plan when they discover a better direction, but should make that change deliberately.</w:t>
      </w:r>
    </w:p>
    <w:p>
      <w:pPr>
        <w:pStyle w:val="Heading2"/>
      </w:pPr>
      <w:r>
        <w:t>Optional life outside the desk</w:t>
      </w:r>
    </w:p>
    <w:p>
      <w:r>
        <w:t>Kayaking and yoga are optional; participants can do either, both, or neither. There are yoga drop-ins around Rishikesh, so we can point people towards suitable local classes rather than hiring a full-time instructor at launch. People interested in spiritual subjects such as kirtan, meditation, the Gita, or yoga philosophy can ask us to help find good local places or teachers. We do not need to invent a curriculum for these activities.</w:t>
      </w:r>
    </w:p>
    <w:p>
      <w:r>
        <w:t>The working idea for kayaking is one hour of early-morning practice per day for the first ten days. That is a proposed arrangement to validate with an operator, not a confirmed booking or published provider rate. River conditions, instructor availability, participant suitability, and safety requirements will determine what is possible.</w:t>
      </w:r>
    </w:p>
    <w:p>
      <w:pPr>
        <w:pStyle w:val="Heading2"/>
      </w:pPr>
      <w:r>
        <w:t>Why Rishikesh</w:t>
      </w:r>
    </w:p>
    <w:p>
      <w:r>
        <w:t>Rishikesh offers a useful combination of mountains, the Ganga, outdoor activities, yoga, spiritual learning, cafes, and a long-stay visitor community. We can use the existing local ecosystem instead of building every part of the experience ourselves. Tapovan is the initial area to investigate because it has many accommodation, cafe, yoga, and visitor options, but the final location should depend on quiet rooms, walking distance, reliable internet, food, and the cost of operating a month-long group.</w:t>
      </w:r>
    </w:p>
    <w:p>
      <w:pPr>
        <w:pStyle w:val="Heading2"/>
      </w:pPr>
      <w:r>
        <w:t>What we need to run it</w:t>
      </w:r>
    </w:p>
    <w:p>
      <w:r>
        <w:t>Keep the first version light. Find clean, quiet shared accommodation within walking distance of a simple shared workspace. Rent the space for a month and furnish it only with what is needed: tables, chairs, reliable internet, and backup power. Avoid a long lease or expensive interiors. If a coworking space or local partner can provide a suitable room more cheaply, use that before signing a separate office.</w:t>
      </w:r>
    </w:p>
    <w:p>
      <w:r>
        <w:t>Arrange group food with a nearby cafe or food partner rather than running a kitchen. Coordinate accommodation, food, internet, introductions, weekly check-ins, and optional activities. The host's job is to make the experience work and help the community form—not to teach every subject.</w:t>
      </w:r>
    </w:p>
    <w:p>
      <w:pPr>
        <w:pStyle w:val="Heading1"/>
      </w:pPr>
      <w:r>
        <w:t>About me</w:t>
      </w:r>
    </w:p>
    <w:p>
      <w:r>
        <w:t>I'm Naval Saini, a senior product engineer and founder. I've built products across startups, fintech, trading and payments, analytics, and consumer software. My background includes around four years at Bitfinex working on trading, P2P, and payments; founding-engineer work at a YC-backed startup; and an internal energy-forecasting platform at McKinsey. I now build products independently through Gradient Games, including Halfchess and RSVP.Dance.</w:t>
      </w:r>
    </w:p>
    <w:p>
      <w:r>
        <w:t xml:space="preserve">I'm also working through my own AI engineering learning track in public. My </w:t>
      </w:r>
      <w:hyperlink r:id="rId12">
        <w:r>
          <w:rPr>
            <w:color w:val="176B68"/>
            <w:u w:val="single"/>
          </w:rPr>
          <w:t>ai-study repository</w:t>
        </w:r>
      </w:hyperlink>
      <w:r>
        <w:t xml:space="preserve"> is an example of how a participant might make a goal concrete, record progress, and build projects rather than only consume material. The learning workflow is being developed through </w:t>
      </w:r>
      <w:hyperlink r:id="rId11">
        <w:r>
          <w:rPr>
            <w:color w:val="176B68"/>
            <w:u w:val="single"/>
          </w:rPr>
          <w:t>studycoach.diy</w:t>
        </w:r>
      </w:hyperlink>
      <w:r>
        <w:t>.</w:t>
      </w:r>
    </w:p>
    <w:p>
      <w:r>
        <w:t>I want to create the kind of environment that makes focused learning easier: enough structure to keep going, capable peers to learn with, and a place where technical work can sit alongside a healthier daily life.</w:t>
      </w:r>
    </w:p>
    <w:p>
      <w:r>
        <w:rPr>
          <w:b/>
        </w:rPr>
        <w:t>Links:</w:t>
      </w:r>
      <w:r>
        <w:t xml:space="preserve"> </w:t>
      </w:r>
      <w:hyperlink r:id="rId13">
        <w:r>
          <w:rPr>
            <w:color w:val="176B68"/>
            <w:u w:val="single"/>
          </w:rPr>
          <w:t>CV</w:t>
        </w:r>
      </w:hyperlink>
      <w:r>
        <w:t xml:space="preserve"> · </w:t>
      </w:r>
      <w:hyperlink r:id="rId12">
        <w:r>
          <w:rPr>
            <w:color w:val="176B68"/>
            <w:u w:val="single"/>
          </w:rPr>
          <w:t>ai-study on GitHub</w:t>
        </w:r>
      </w:hyperlink>
      <w:r>
        <w:t xml:space="preserve"> · </w:t>
      </w:r>
      <w:hyperlink r:id="rId11">
        <w:r>
          <w:rPr>
            <w:color w:val="176B68"/>
            <w:u w:val="single"/>
          </w:rPr>
          <w:t>studycoach.diy</w:t>
        </w:r>
      </w:hyperlink>
    </w:p>
    <w:p>
      <w:pPr>
        <w:pStyle w:val="Heading1"/>
      </w:pPr>
      <w:r>
        <w:t>Working pricing model</w:t>
      </w:r>
    </w:p>
    <w:p>
      <w:r>
        <w:t>The figures below are planning assumptions, not confirmed quotes. Before asking anyone to pay, we need written prices and clear inclusions from accommodation, food, workspace, and activity providers.</w:t>
      </w:r>
    </w:p>
    <w:p>
      <w:pPr>
        <w:pStyle w:val="Heading2"/>
      </w:pPr>
      <w:r>
        <w:t>Core 30-day costs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A4A49"/>
            <w:vAlign w:val="center"/>
          </w:tcPr>
          <w:p>
            <w:r>
              <w:rPr>
                <w:b/>
                <w:color w:val="FFFFFF"/>
                <w:sz w:val="17"/>
              </w:rPr>
            </w:r>
            <w:r>
              <w:rPr>
                <w:b/>
                <w:color w:val="FFFFFF"/>
                <w:sz w:val="17"/>
              </w:rPr>
              <w:t>Item</w:t>
            </w:r>
          </w:p>
        </w:tc>
        <w:tc>
          <w:tcPr>
            <w:tcW w:type="dxa" w:w="3331"/>
            <w:shd w:fill="1A4A49"/>
            <w:vAlign w:val="center"/>
          </w:tcPr>
          <w:p>
            <w:r>
              <w:rPr>
                <w:b/>
                <w:color w:val="FFFFFF"/>
                <w:sz w:val="17"/>
              </w:rPr>
            </w:r>
            <w:r>
              <w:rPr>
                <w:b/>
                <w:color w:val="FFFFFF"/>
                <w:sz w:val="17"/>
              </w:rPr>
              <w:t>Working assumption</w:t>
            </w:r>
          </w:p>
        </w:tc>
        <w:tc>
          <w:tcPr>
            <w:tcW w:type="dxa" w:w="3331"/>
            <w:shd w:fill="1A4A49"/>
            <w:vAlign w:val="center"/>
          </w:tcPr>
          <w:p>
            <w:r>
              <w:rPr>
                <w:b/>
                <w:color w:val="FFFFFF"/>
                <w:sz w:val="17"/>
              </w:rPr>
            </w:r>
            <w:r>
              <w:rPr>
                <w:b/>
                <w:color w:val="FFFFFF"/>
                <w:sz w:val="17"/>
              </w:rPr>
              <w:t>30-day estimate per person</w:t>
            </w:r>
          </w:p>
        </w:tc>
      </w:tr>
      <w:tr>
        <w:tc>
          <w:tcPr>
            <w:tcW w:type="dxa" w:w="3331"/>
            <w:vAlign w:val="center"/>
          </w:tcPr>
          <w:p>
            <w:r>
              <w:rPr>
                <w:sz w:val="16"/>
              </w:rPr>
            </w:r>
            <w:r>
              <w:rPr>
                <w:sz w:val="16"/>
              </w:rPr>
              <w:t>Shared-room accommodation</w:t>
            </w:r>
          </w:p>
        </w:tc>
        <w:tc>
          <w:tcPr>
            <w:tcW w:type="dxa" w:w="3331"/>
            <w:vAlign w:val="center"/>
          </w:tcPr>
          <w:p>
            <w:r>
              <w:rPr>
                <w:sz w:val="16"/>
              </w:rPr>
            </w:r>
            <w:r>
              <w:rPr>
                <w:sz w:val="16"/>
              </w:rPr>
              <w:t>₹1,000 per person per day</w:t>
            </w:r>
          </w:p>
        </w:tc>
        <w:tc>
          <w:tcPr>
            <w:tcW w:type="dxa" w:w="3331"/>
            <w:vAlign w:val="center"/>
          </w:tcPr>
          <w:p>
            <w:r>
              <w:rPr>
                <w:sz w:val="16"/>
              </w:rPr>
            </w:r>
            <w:r>
              <w:rPr>
                <w:sz w:val="16"/>
              </w:rPr>
              <w:t>₹30,000</w:t>
            </w:r>
          </w:p>
        </w:tc>
      </w:tr>
      <w:tr>
        <w:tc>
          <w:tcPr>
            <w:tcW w:type="dxa" w:w="3331"/>
            <w:vAlign w:val="center"/>
            <w:shd w:fill="F2F6F4"/>
          </w:tcPr>
          <w:p>
            <w:r>
              <w:rPr>
                <w:sz w:val="16"/>
              </w:rPr>
            </w:r>
            <w:r>
              <w:rPr>
                <w:sz w:val="16"/>
              </w:rPr>
              <w:t>Community food</w:t>
            </w:r>
          </w:p>
        </w:tc>
        <w:tc>
          <w:tcPr>
            <w:tcW w:type="dxa" w:w="3331"/>
            <w:vAlign w:val="center"/>
            <w:shd w:fill="F2F6F4"/>
          </w:tcPr>
          <w:p>
            <w:r>
              <w:rPr>
                <w:sz w:val="16"/>
              </w:rPr>
            </w:r>
            <w:r>
              <w:rPr>
                <w:sz w:val="16"/>
              </w:rPr>
              <w:t>₹500 per person per day</w:t>
            </w:r>
          </w:p>
        </w:tc>
        <w:tc>
          <w:tcPr>
            <w:tcW w:type="dxa" w:w="3331"/>
            <w:vAlign w:val="center"/>
            <w:shd w:fill="F2F6F4"/>
          </w:tcPr>
          <w:p>
            <w:r>
              <w:rPr>
                <w:sz w:val="16"/>
              </w:rPr>
            </w:r>
            <w:r>
              <w:rPr>
                <w:sz w:val="16"/>
              </w:rPr>
              <w:t>₹15,000</w:t>
            </w:r>
          </w:p>
        </w:tc>
      </w:tr>
      <w:tr>
        <w:tc>
          <w:tcPr>
            <w:tcW w:type="dxa" w:w="3331"/>
            <w:vAlign w:val="center"/>
          </w:tcPr>
          <w:p>
            <w:r>
              <w:rPr>
                <w:sz w:val="16"/>
              </w:rPr>
            </w:r>
            <w:r>
              <w:rPr>
                <w:b/>
                <w:sz w:val="16"/>
              </w:rPr>
              <w:t>Accommodation + food subtotal</w:t>
            </w:r>
          </w:p>
        </w:tc>
        <w:tc>
          <w:tcPr>
            <w:tcW w:type="dxa" w:w="3331"/>
            <w:vAlign w:val="center"/>
          </w:tcPr>
          <w:p>
            <w:r>
              <w:rPr>
                <w:sz w:val="16"/>
              </w:rPr>
            </w:r>
            <w:r>
              <w:rPr>
                <w:sz w:val="16"/>
              </w:rPr>
              <w:t>30 days</w:t>
            </w:r>
          </w:p>
        </w:tc>
        <w:tc>
          <w:tcPr>
            <w:tcW w:type="dxa" w:w="3331"/>
            <w:vAlign w:val="center"/>
          </w:tcPr>
          <w:p>
            <w:r>
              <w:rPr>
                <w:sz w:val="16"/>
              </w:rPr>
            </w:r>
            <w:r>
              <w:rPr>
                <w:b/>
                <w:sz w:val="16"/>
              </w:rPr>
              <w:t>₹45,000</w:t>
            </w:r>
          </w:p>
        </w:tc>
      </w:tr>
    </w:tbl>
    <w:p/>
    <w:p>
      <w:r>
        <w:t xml:space="preserve">We propose adding a </w:t>
      </w:r>
      <w:r>
        <w:rPr>
          <w:b/>
        </w:rPr>
        <w:t>15% coordination and community-management fee</w:t>
      </w:r>
      <w:r>
        <w:t xml:space="preserve"> to the direct and shared costs we arrange. This is for sourcing and coordinating providers, managing the group, communicating details, handling day-to-day logistics, and making the residency work. It should be shown clearly in the itemized cost estimate, not hidden in an unexplained price.</w:t>
      </w:r>
    </w:p>
    <w:p>
      <w:r>
        <w:t xml:space="preserve">Accommodation and food plus 15% alone would be ₹51,750 per person. That is </w:t>
      </w:r>
      <w:r>
        <w:rPr>
          <w:b/>
        </w:rPr>
        <w:t>not yet the full residency price</w:t>
      </w:r>
      <w:r>
        <w:t>, because it does not cover the shared workspace and cohort operating costs.</w:t>
      </w:r>
    </w:p>
    <w:p>
      <w:pPr>
        <w:pStyle w:val="Heading2"/>
      </w:pPr>
      <w:r>
        <w:t>First-cohort overhead assumptions</w:t>
      </w:r>
    </w:p>
    <w:tbl>
      <w:tblPr>
        <w:tblStyle w:val="TableGrid"/>
        <w:tblW w:type="auto" w:w="0"/>
        <w:jc w:val="center"/>
        <w:tblLook w:firstColumn="1" w:firstRow="1" w:lastColumn="0" w:lastRow="0" w:noHBand="0" w:noVBand="1" w:val="04A0"/>
      </w:tblPr>
      <w:tblGrid>
        <w:gridCol w:w="4997"/>
        <w:gridCol w:w="4997"/>
      </w:tblGrid>
      <w:tr>
        <w:tc>
          <w:tcPr>
            <w:tcW w:type="dxa" w:w="4997"/>
            <w:shd w:fill="1A4A49"/>
            <w:vAlign w:val="center"/>
          </w:tcPr>
          <w:p>
            <w:r>
              <w:rPr>
                <w:b/>
                <w:color w:val="FFFFFF"/>
                <w:sz w:val="17"/>
              </w:rPr>
            </w:r>
            <w:r>
              <w:rPr>
                <w:b/>
                <w:color w:val="FFFFFF"/>
                <w:sz w:val="17"/>
              </w:rPr>
              <w:t>Cohort-level item</w:t>
            </w:r>
          </w:p>
        </w:tc>
        <w:tc>
          <w:tcPr>
            <w:tcW w:type="dxa" w:w="4997"/>
            <w:shd w:fill="1A4A49"/>
            <w:vAlign w:val="center"/>
          </w:tcPr>
          <w:p>
            <w:r>
              <w:rPr>
                <w:b/>
                <w:color w:val="FFFFFF"/>
                <w:sz w:val="17"/>
              </w:rPr>
            </w:r>
            <w:r>
              <w:rPr>
                <w:b/>
                <w:color w:val="FFFFFF"/>
                <w:sz w:val="17"/>
              </w:rPr>
              <w:t>Working estimate</w:t>
            </w:r>
          </w:p>
        </w:tc>
      </w:tr>
      <w:tr>
        <w:tc>
          <w:tcPr>
            <w:tcW w:type="dxa" w:w="4997"/>
            <w:vAlign w:val="center"/>
          </w:tcPr>
          <w:p>
            <w:r>
              <w:rPr>
                <w:sz w:val="16"/>
              </w:rPr>
            </w:r>
            <w:r>
              <w:rPr>
                <w:sz w:val="16"/>
              </w:rPr>
              <w:t>Workspace, internet, power and backup</w:t>
            </w:r>
          </w:p>
        </w:tc>
        <w:tc>
          <w:tcPr>
            <w:tcW w:type="dxa" w:w="4997"/>
            <w:vAlign w:val="center"/>
          </w:tcPr>
          <w:p>
            <w:r>
              <w:rPr>
                <w:sz w:val="16"/>
              </w:rPr>
            </w:r>
            <w:r>
              <w:rPr>
                <w:sz w:val="16"/>
              </w:rPr>
              <w:t>₹20,000–40,000</w:t>
            </w:r>
          </w:p>
        </w:tc>
      </w:tr>
      <w:tr>
        <w:tc>
          <w:tcPr>
            <w:tcW w:type="dxa" w:w="4997"/>
            <w:vAlign w:val="center"/>
            <w:shd w:fill="F2F6F4"/>
          </w:tcPr>
          <w:p>
            <w:r>
              <w:rPr>
                <w:sz w:val="16"/>
              </w:rPr>
            </w:r>
            <w:r>
              <w:rPr>
                <w:sz w:val="16"/>
              </w:rPr>
              <w:t>On-ground coordination and local operations</w:t>
            </w:r>
          </w:p>
        </w:tc>
        <w:tc>
          <w:tcPr>
            <w:tcW w:type="dxa" w:w="4997"/>
            <w:vAlign w:val="center"/>
            <w:shd w:fill="F2F6F4"/>
          </w:tcPr>
          <w:p>
            <w:r>
              <w:rPr>
                <w:sz w:val="16"/>
              </w:rPr>
            </w:r>
            <w:r>
              <w:rPr>
                <w:sz w:val="16"/>
              </w:rPr>
              <w:t>₹50,000</w:t>
            </w:r>
          </w:p>
        </w:tc>
      </w:tr>
      <w:tr>
        <w:tc>
          <w:tcPr>
            <w:tcW w:type="dxa" w:w="4997"/>
            <w:vAlign w:val="center"/>
          </w:tcPr>
          <w:p>
            <w:r>
              <w:rPr>
                <w:sz w:val="16"/>
              </w:rPr>
            </w:r>
            <w:r>
              <w:rPr>
                <w:sz w:val="16"/>
              </w:rPr>
              <w:t>Website, payments, legal/accounting, marketing, miscellaneous and contingency</w:t>
            </w:r>
          </w:p>
        </w:tc>
        <w:tc>
          <w:tcPr>
            <w:tcW w:type="dxa" w:w="4997"/>
            <w:vAlign w:val="center"/>
          </w:tcPr>
          <w:p>
            <w:r>
              <w:rPr>
                <w:sz w:val="16"/>
              </w:rPr>
            </w:r>
            <w:r>
              <w:rPr>
                <w:sz w:val="16"/>
              </w:rPr>
              <w:t>₹60,000</w:t>
            </w:r>
          </w:p>
        </w:tc>
      </w:tr>
      <w:tr>
        <w:tc>
          <w:tcPr>
            <w:tcW w:type="dxa" w:w="4997"/>
            <w:vAlign w:val="center"/>
            <w:shd w:fill="F2F6F4"/>
          </w:tcPr>
          <w:p>
            <w:r>
              <w:rPr>
                <w:sz w:val="16"/>
              </w:rPr>
            </w:r>
            <w:r>
              <w:rPr>
                <w:b/>
                <w:sz w:val="16"/>
              </w:rPr>
              <w:t>Total shared overhead for the first cohort</w:t>
            </w:r>
          </w:p>
        </w:tc>
        <w:tc>
          <w:tcPr>
            <w:tcW w:type="dxa" w:w="4997"/>
            <w:vAlign w:val="center"/>
            <w:shd w:fill="F2F6F4"/>
          </w:tcPr>
          <w:p>
            <w:r>
              <w:rPr>
                <w:sz w:val="16"/>
              </w:rPr>
            </w:r>
            <w:r>
              <w:rPr>
                <w:b/>
                <w:sz w:val="16"/>
              </w:rPr>
              <w:t>₹1.30–1.50 lakh</w:t>
            </w:r>
          </w:p>
        </w:tc>
      </w:tr>
    </w:tbl>
    <w:p/>
    <w:p>
      <w:r>
        <w:t>These numbers assume a month-to-month space, simple setup, no permanent fit-out, no full-time teaching staff, and no dedicated yoga teacher. If we must buy furniture or equipment rather than rent or borrow it, that needs to be quoted separately. Some website and launch costs may be treated as founder investment rather than recovered from the first cohort; if so, that decision should be reflected transparently in the price.</w:t>
      </w:r>
    </w:p>
    <w:p>
      <w:pPr>
        <w:pStyle w:val="Heading2"/>
      </w:pPr>
      <w:r>
        <w:t>What that means per participant</w:t>
      </w:r>
    </w:p>
    <w:p>
      <w:r>
        <w:t>The calculation below spreads the shared overhead across 12–15 residents, adds it to accommodation and food, and then applies the 15% fee to the full cost base.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1A4A49"/>
            <w:vAlign w:val="center"/>
          </w:tcPr>
          <w:p>
            <w:r>
              <w:rPr>
                <w:b/>
                <w:color w:val="FFFFFF"/>
                <w:sz w:val="17"/>
              </w:rPr>
            </w:r>
            <w:r>
              <w:rPr>
                <w:b/>
                <w:color w:val="FFFFFF"/>
                <w:sz w:val="17"/>
              </w:rPr>
              <w:t>Cohort size</w:t>
            </w:r>
          </w:p>
        </w:tc>
        <w:tc>
          <w:tcPr>
            <w:tcW w:type="dxa" w:w="2498"/>
            <w:shd w:fill="1A4A49"/>
            <w:vAlign w:val="center"/>
          </w:tcPr>
          <w:p>
            <w:r>
              <w:rPr>
                <w:b/>
                <w:color w:val="FFFFFF"/>
                <w:sz w:val="17"/>
              </w:rPr>
            </w:r>
            <w:r>
              <w:rPr>
                <w:b/>
                <w:color w:val="FFFFFF"/>
                <w:sz w:val="17"/>
              </w:rPr>
              <w:t>Estimated direct cost before 15%</w:t>
            </w:r>
          </w:p>
        </w:tc>
        <w:tc>
          <w:tcPr>
            <w:tcW w:type="dxa" w:w="2498"/>
            <w:shd w:fill="1A4A49"/>
            <w:vAlign w:val="center"/>
          </w:tcPr>
          <w:p>
            <w:r>
              <w:rPr>
                <w:b/>
                <w:color w:val="FFFFFF"/>
                <w:sz w:val="17"/>
              </w:rPr>
            </w:r>
            <w:r>
              <w:rPr>
                <w:b/>
                <w:color w:val="FFFFFF"/>
                <w:sz w:val="17"/>
              </w:rPr>
              <w:t>Total with 15%</w:t>
            </w:r>
          </w:p>
        </w:tc>
        <w:tc>
          <w:tcPr>
            <w:tcW w:type="dxa" w:w="2498"/>
            <w:shd w:fill="1A4A49"/>
            <w:vAlign w:val="center"/>
          </w:tcPr>
          <w:p>
            <w:r>
              <w:rPr>
                <w:b/>
                <w:color w:val="FFFFFF"/>
                <w:sz w:val="17"/>
              </w:rPr>
            </w:r>
            <w:r>
              <w:rPr>
                <w:b/>
                <w:color w:val="FFFFFF"/>
                <w:sz w:val="17"/>
              </w:rPr>
              <w:t>Indicative price per person</w:t>
            </w:r>
          </w:p>
        </w:tc>
      </w:tr>
      <w:tr>
        <w:tc>
          <w:tcPr>
            <w:tcW w:type="dxa" w:w="2498"/>
            <w:vAlign w:val="center"/>
          </w:tcPr>
          <w:p>
            <w:r>
              <w:rPr>
                <w:sz w:val="16"/>
              </w:rPr>
            </w:r>
            <w:r>
              <w:rPr>
                <w:sz w:val="16"/>
              </w:rPr>
              <w:t>12 residents</w:t>
            </w:r>
          </w:p>
        </w:tc>
        <w:tc>
          <w:tcPr>
            <w:tcW w:type="dxa" w:w="2498"/>
            <w:vAlign w:val="center"/>
          </w:tcPr>
          <w:p>
            <w:r>
              <w:rPr>
                <w:sz w:val="16"/>
              </w:rPr>
            </w:r>
            <w:r>
              <w:rPr>
                <w:sz w:val="16"/>
              </w:rPr>
              <w:t>₹6.70–6.90 lakh</w:t>
            </w:r>
          </w:p>
        </w:tc>
        <w:tc>
          <w:tcPr>
            <w:tcW w:type="dxa" w:w="2498"/>
            <w:vAlign w:val="center"/>
          </w:tcPr>
          <w:p>
            <w:r>
              <w:rPr>
                <w:sz w:val="16"/>
              </w:rPr>
            </w:r>
            <w:r>
              <w:rPr>
                <w:sz w:val="16"/>
              </w:rPr>
              <w:t>₹7.71–7.94 lakh</w:t>
            </w:r>
          </w:p>
        </w:tc>
        <w:tc>
          <w:tcPr>
            <w:tcW w:type="dxa" w:w="2498"/>
            <w:vAlign w:val="center"/>
          </w:tcPr>
          <w:p>
            <w:r>
              <w:rPr>
                <w:sz w:val="16"/>
              </w:rPr>
            </w:r>
            <w:r>
              <w:rPr>
                <w:sz w:val="16"/>
              </w:rPr>
              <w:t>₹64,200–66,100</w:t>
            </w:r>
          </w:p>
        </w:tc>
      </w:tr>
      <w:tr>
        <w:tc>
          <w:tcPr>
            <w:tcW w:type="dxa" w:w="2498"/>
            <w:vAlign w:val="center"/>
            <w:shd w:fill="F2F6F4"/>
          </w:tcPr>
          <w:p>
            <w:r>
              <w:rPr>
                <w:sz w:val="16"/>
              </w:rPr>
            </w:r>
            <w:r>
              <w:rPr>
                <w:sz w:val="16"/>
              </w:rPr>
              <w:t>15 residents</w:t>
            </w:r>
          </w:p>
        </w:tc>
        <w:tc>
          <w:tcPr>
            <w:tcW w:type="dxa" w:w="2498"/>
            <w:vAlign w:val="center"/>
            <w:shd w:fill="F2F6F4"/>
          </w:tcPr>
          <w:p>
            <w:r>
              <w:rPr>
                <w:sz w:val="16"/>
              </w:rPr>
            </w:r>
            <w:r>
              <w:rPr>
                <w:sz w:val="16"/>
              </w:rPr>
              <w:t>₹8.05–8.25 lakh</w:t>
            </w:r>
          </w:p>
        </w:tc>
        <w:tc>
          <w:tcPr>
            <w:tcW w:type="dxa" w:w="2498"/>
            <w:vAlign w:val="center"/>
            <w:shd w:fill="F2F6F4"/>
          </w:tcPr>
          <w:p>
            <w:r>
              <w:rPr>
                <w:sz w:val="16"/>
              </w:rPr>
            </w:r>
            <w:r>
              <w:rPr>
                <w:sz w:val="16"/>
              </w:rPr>
              <w:t>₹9.26–9.49 lakh</w:t>
            </w:r>
          </w:p>
        </w:tc>
        <w:tc>
          <w:tcPr>
            <w:tcW w:type="dxa" w:w="2498"/>
            <w:vAlign w:val="center"/>
            <w:shd w:fill="F2F6F4"/>
          </w:tcPr>
          <w:p>
            <w:r>
              <w:rPr>
                <w:sz w:val="16"/>
              </w:rPr>
            </w:r>
            <w:r>
              <w:rPr>
                <w:sz w:val="16"/>
              </w:rPr>
              <w:t>₹61,700–63,300</w:t>
            </w:r>
          </w:p>
        </w:tc>
      </w:tr>
    </w:tbl>
    <w:p/>
    <w:p>
      <w:r>
        <w:t xml:space="preserve">The preliminary core target is therefore around </w:t>
      </w:r>
      <w:r>
        <w:rPr>
          <w:b/>
        </w:rPr>
        <w:t>₹62,000–66,000 per person for 30 days in a shared room</w:t>
      </w:r>
      <w:r>
        <w:t>, before optional activities. The final figure will depend on confirmed supplier rates, cohort size, tax/payment treatment, and which launch costs are included. These calculations are a planning model, not a promise that those prices or inclusions are already available.</w:t>
      </w:r>
    </w:p>
    <w:p>
      <w:r>
        <w:t>Keep one base price for local and international participants, converted transparently into the payment currency where required. Do not add a nationality-based surcharge for the same service. A private room or different service level can have a separate price later if it is actually offered.</w:t>
      </w:r>
    </w:p>
    <w:p>
      <w:pPr>
        <w:pStyle w:val="Heading2"/>
      </w:pPr>
      <w:r>
        <w:t>Optional activities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A4A49"/>
            <w:vAlign w:val="center"/>
          </w:tcPr>
          <w:p>
            <w:r>
              <w:rPr>
                <w:b/>
                <w:color w:val="FFFFFF"/>
                <w:sz w:val="17"/>
              </w:rPr>
            </w:r>
            <w:r>
              <w:rPr>
                <w:b/>
                <w:color w:val="FFFFFF"/>
                <w:sz w:val="17"/>
              </w:rPr>
              <w:t>Option</w:t>
            </w:r>
          </w:p>
        </w:tc>
        <w:tc>
          <w:tcPr>
            <w:tcW w:type="dxa" w:w="3331"/>
            <w:shd w:fill="1A4A49"/>
            <w:vAlign w:val="center"/>
          </w:tcPr>
          <w:p>
            <w:r>
              <w:rPr>
                <w:b/>
                <w:color w:val="FFFFFF"/>
                <w:sz w:val="17"/>
              </w:rPr>
            </w:r>
            <w:r>
              <w:rPr>
                <w:b/>
                <w:color w:val="FFFFFF"/>
                <w:sz w:val="17"/>
              </w:rPr>
              <w:t>Current planning assumption</w:t>
            </w:r>
          </w:p>
        </w:tc>
        <w:tc>
          <w:tcPr>
            <w:tcW w:type="dxa" w:w="3331"/>
            <w:shd w:fill="1A4A49"/>
            <w:vAlign w:val="center"/>
          </w:tcPr>
          <w:p>
            <w:r>
              <w:rPr>
                <w:b/>
                <w:color w:val="FFFFFF"/>
                <w:sz w:val="17"/>
              </w:rPr>
            </w:r>
            <w:r>
              <w:rPr>
                <w:b/>
                <w:color w:val="FFFFFF"/>
                <w:sz w:val="17"/>
              </w:rPr>
              <w:t>How to present it</w:t>
            </w:r>
          </w:p>
        </w:tc>
      </w:tr>
      <w:tr>
        <w:tc>
          <w:tcPr>
            <w:tcW w:type="dxa" w:w="3331"/>
            <w:vAlign w:val="center"/>
          </w:tcPr>
          <w:p>
            <w:r>
              <w:rPr>
                <w:sz w:val="16"/>
              </w:rPr>
            </w:r>
            <w:r>
              <w:rPr>
                <w:sz w:val="16"/>
              </w:rPr>
              <w:t>Kayaking practice</w:t>
            </w:r>
          </w:p>
        </w:tc>
        <w:tc>
          <w:tcPr>
            <w:tcW w:type="dxa" w:w="3331"/>
            <w:vAlign w:val="center"/>
          </w:tcPr>
          <w:p>
            <w:r>
              <w:rPr>
                <w:sz w:val="16"/>
              </w:rPr>
            </w:r>
            <w:r>
              <w:rPr>
                <w:sz w:val="16"/>
              </w:rPr>
              <w:t>Proposed: 10 early mornings × 1 hour × ₹1,000 = ₹10,000; plus 15% = ₹11,500</w:t>
            </w:r>
          </w:p>
        </w:tc>
        <w:tc>
          <w:tcPr>
            <w:tcW w:type="dxa" w:w="3331"/>
            <w:vAlign w:val="center"/>
          </w:tcPr>
          <w:p>
            <w:r>
              <w:rPr>
                <w:sz w:val="16"/>
              </w:rPr>
            </w:r>
            <w:r>
              <w:rPr>
                <w:sz w:val="16"/>
              </w:rPr>
              <w:t>Unconfirmed custom arrangement. Do not sell as confirmed until an operator agrees the schedule, supervision, safety requirements, and price.</w:t>
            </w:r>
          </w:p>
        </w:tc>
      </w:tr>
      <w:tr>
        <w:tc>
          <w:tcPr>
            <w:tcW w:type="dxa" w:w="3331"/>
            <w:vAlign w:val="center"/>
            <w:shd w:fill="F2F6F4"/>
          </w:tcPr>
          <w:p>
            <w:r>
              <w:rPr>
                <w:sz w:val="16"/>
              </w:rPr>
            </w:r>
            <w:r>
              <w:rPr>
                <w:sz w:val="16"/>
              </w:rPr>
              <w:t>Kirtan course</w:t>
            </w:r>
          </w:p>
        </w:tc>
        <w:tc>
          <w:tcPr>
            <w:tcW w:type="dxa" w:w="3331"/>
            <w:vAlign w:val="center"/>
            <w:shd w:fill="F2F6F4"/>
          </w:tcPr>
          <w:p>
            <w:r>
              <w:rPr>
                <w:sz w:val="16"/>
              </w:rPr>
            </w:r>
            <w:r>
              <w:rPr>
                <w:sz w:val="16"/>
              </w:rPr>
              <w:t>₹5,000 for 7 days or ₹20,000 for a month</w:t>
            </w:r>
          </w:p>
        </w:tc>
        <w:tc>
          <w:tcPr>
            <w:tcW w:type="dxa" w:w="3331"/>
            <w:vAlign w:val="center"/>
            <w:shd w:fill="F2F6F4"/>
          </w:tcPr>
          <w:p>
            <w:r>
              <w:rPr>
                <w:sz w:val="16"/>
              </w:rPr>
            </w:r>
            <w:r>
              <w:rPr>
                <w:sz w:val="16"/>
              </w:rPr>
              <w:t>If managed by us with the 15% fee: ₹5,750 for 7 days or ₹23,000 for a month. Confirm provider, dates, and inclusions.</w:t>
            </w:r>
          </w:p>
        </w:tc>
      </w:tr>
      <w:tr>
        <w:tc>
          <w:tcPr>
            <w:tcW w:type="dxa" w:w="3331"/>
            <w:vAlign w:val="center"/>
          </w:tcPr>
          <w:p>
            <w:r>
              <w:rPr>
                <w:sz w:val="16"/>
              </w:rPr>
            </w:r>
            <w:r>
              <w:rPr>
                <w:sz w:val="16"/>
              </w:rPr>
              <w:t>Yoga drop-ins</w:t>
            </w:r>
          </w:p>
        </w:tc>
        <w:tc>
          <w:tcPr>
            <w:tcW w:type="dxa" w:w="3331"/>
            <w:vAlign w:val="center"/>
          </w:tcPr>
          <w:p>
            <w:r>
              <w:rPr>
                <w:sz w:val="16"/>
              </w:rPr>
            </w:r>
            <w:r>
              <w:rPr>
                <w:sz w:val="16"/>
              </w:rPr>
              <w:t>Classes are available nearby; exact rates vary</w:t>
            </w:r>
          </w:p>
        </w:tc>
        <w:tc>
          <w:tcPr>
            <w:tcW w:type="dxa" w:w="3331"/>
            <w:vAlign w:val="center"/>
          </w:tcPr>
          <w:p>
            <w:r>
              <w:rPr>
                <w:sz w:val="16"/>
              </w:rPr>
            </w:r>
            <w:r>
              <w:rPr>
                <w:sz w:val="16"/>
              </w:rPr>
              <w:t>Optional and not included in the core estimate. In the first cohort, participants can pay the studio directly unless we arrange a group booking.</w:t>
            </w:r>
          </w:p>
        </w:tc>
      </w:tr>
    </w:tbl>
    <w:p/>
    <w:p>
      <w:r>
        <w:t xml:space="preserve">For context, </w:t>
      </w:r>
      <w:hyperlink r:id="rId14">
        <w:r>
          <w:rPr>
            <w:color w:val="176B68"/>
            <w:u w:val="single"/>
          </w:rPr>
          <w:t>Team4Adventure's published basic kayaking course</w:t>
        </w:r>
      </w:hyperlink>
      <w:r>
        <w:t xml:space="preserve"> currently lists a four-day beginner course at ₹17,500 per person. The proposed ten short early-morning sessions are a different format and must be confirmed directly with the provider; the published course price should not be used to imply that the custom plan is available at ₹1,000 per day.</w:t>
      </w:r>
    </w:p>
    <w:p>
      <w:pPr>
        <w:pStyle w:val="Heading2"/>
      </w:pPr>
      <w:r>
        <w:t>Pricing principles</w:t>
      </w:r>
    </w:p>
    <w:p>
      <w:r>
        <w:t>Be transparent and avoid surprise charges. Show the working cost, what the 15% fee applies to, what is included, what is optional, and what is still unconfirmed. Send the final itemized estimate and cancellation terms before someone commits or pays a deposit. Do not take non-refundable deposits until the minimum cohort and core suppliers are confirmed.</w:t>
      </w:r>
    </w:p>
    <w:p>
      <w:pPr>
        <w:pStyle w:val="Heading1"/>
      </w:pPr>
      <w:r>
        <w:t>First-cohort plan</w:t>
      </w:r>
    </w:p>
    <w:p>
      <w:pPr>
        <w:pStyle w:val="Heading2"/>
      </w:pPr>
      <w:r>
        <w:t>1. Validate demand before committing money</w:t>
      </w:r>
    </w:p>
    <w:p>
      <w:r>
        <w:t>Make a one-page website and talk directly with people in the current learning community, peers who are between jobs, and people working through online courses or personal projects. Ask what they want to learn, whether they would spend 30 days in Rishikesh, which activities interest them, and what price range they could realistically pay. A casual expression of interest is useful, but it is not the same as a paid commitment.</w:t>
      </w:r>
    </w:p>
    <w:p>
      <w:r>
        <w:t>The website's main CTA should open a short, multi-step interest form. Ask for contact details and optional LinkedIn/GitHub links, professional background, what they want to learn or build, current level, expected outcome, availability, and whether they can commit around 20 hours per week. Also ask about their comfortable total budget, optional-activity budget, shared/private room preference, food and dietary needs, and essential facilities such as internet, power backup, a quiet workspace, heating, and laundry. Treat this as research—not a booking—and be clear that prices and activities are still being confirmed. Collect only what we need to plan the cohort.</w:t>
      </w:r>
    </w:p>
    <w:p>
      <w:r>
        <w:t>The initial target is 12–15 residents. Do not sign a long lease, buy substantial equipment, or make provider deposits until the likely cohort is real.</w:t>
      </w:r>
    </w:p>
    <w:p>
      <w:pPr>
        <w:pStyle w:val="Heading2"/>
      </w:pPr>
      <w:r>
        <w:t>2. Get real supplier quotes</w:t>
      </w:r>
    </w:p>
    <w:p>
      <w:r>
        <w:t>Ask at least two or three accommodation providers for a 30-day shared-room rate per person, including cleaning, linen, hot water, winter heating, deposits, and cancellation terms. Check internet quality inside both the rooms and workspace. Get a written group-food offer at ₹500 per person per day if possible, clarifying meal count, menus, timing, dietary options, and whether rates include taxes.</w:t>
      </w:r>
    </w:p>
    <w:p>
      <w:r>
        <w:t>Price the workspace for one month, including power backup and a backup internet connection. Confirm how tables and chairs will be sourced. Ask local operators about the proposed kayaking format and safety requirements. Check kirtan dates and prices, and map a few suitable yoga drop-ins. Do not treat any current estimate as a supplier commitment.</w:t>
      </w:r>
    </w:p>
    <w:p>
      <w:pPr>
        <w:pStyle w:val="Heading2"/>
      </w:pPr>
      <w:r>
        <w:t>3. Set a go/no-go threshold</w:t>
      </w:r>
    </w:p>
    <w:p>
      <w:r>
        <w:t>Run the first cohort only after a minimum of 12 people have confirmed at the final disclosed price and the essential suppliers have provided written terms. If demand is weaker, delay the cohort or redesign it around a lower-cost existing coworking arrangement rather than subsidising a full office.</w:t>
      </w:r>
    </w:p>
    <w:p>
      <w:r>
        <w:t>Collect deposits only after confirming the final price, minimum participant count, cancellation/refund policy, and what happens if the residency does not go ahead. Keep a cash buffer for refunds and unforeseen costs.</w:t>
      </w:r>
    </w:p>
    <w:p>
      <w:pPr>
        <w:pStyle w:val="Heading2"/>
      </w:pPr>
      <w:r>
        <w:t>4. Run a simple, intentional month</w:t>
      </w:r>
    </w:p>
    <w:p>
      <w:r>
        <w:t>Before arrival, each resident submits a learning track and a concrete goal. In the first few days, help everyone make their plan workable. Have a weekly progress check-in, optional peer help, and a final sharing session. The rest of the schedule should leave room for concentrated work and personal routines. Kayaking, yoga, kirtan, and spiritual study remain optional; nobody should feel they have failed the programme by choosing one activity or none.</w:t>
      </w:r>
    </w:p>
    <w:p>
      <w:pPr>
        <w:pStyle w:val="Heading2"/>
      </w:pPr>
      <w:r>
        <w:t>5. Learn from the first cohort</w:t>
      </w:r>
    </w:p>
    <w:p>
      <w:r>
        <w:t>The first cohort should answer four questions: Will people pay the final price? Do they make measurable progress on their own goals? Does the community create enough accountability and connection to be worth joining? Can we deliver the experience without excessive founder time or surprise costs?</w:t>
      </w:r>
    </w:p>
    <w:p>
      <w:r>
        <w:t>Track actual costs per person, occupancy, contribution after direct expenses, learning-track completion or meaningful progress, participant feedback, referrals, and willingness to recommend or attend another cohort. Use these answers to decide whether to repeat, adjust pricing, change the location, or expand.</w:t>
      </w:r>
    </w:p>
    <w:p>
      <w:pPr>
        <w:pStyle w:val="Heading1"/>
      </w:pPr>
      <w:r>
        <w:t>Main risks</w:t>
      </w:r>
    </w:p>
    <w:p>
      <w:r>
        <w:rPr>
          <w:b/>
        </w:rPr>
        <w:t>Demand risk:</w:t>
      </w:r>
      <w:r>
        <w:t xml:space="preserve"> people may like the idea but not pay ₹62,000–66,000. Test willingness to pay before committing to a lease.</w:t>
      </w:r>
    </w:p>
    <w:p>
      <w:r>
        <w:rPr>
          <w:b/>
        </w:rPr>
        <w:t>Cost risk:</w:t>
      </w:r>
      <w:r>
        <w:t xml:space="preserve"> the ₹1,000 room and ₹500 food assumptions may not hold at the required quality. Get actual monthly quotes and inspect the rooms and workspace.</w:t>
      </w:r>
    </w:p>
    <w:p>
      <w:r>
        <w:rPr>
          <w:b/>
        </w:rPr>
        <w:t>Weak accountability:</w:t>
      </w:r>
      <w:r>
        <w:t xml:space="preserve"> self-study can become unstructured. Use learning plans and weekly check-ins, without adding lectures or a rigid curriculum.</w:t>
      </w:r>
    </w:p>
    <w:p>
      <w:r>
        <w:rPr>
          <w:b/>
        </w:rPr>
        <w:t>Activity risk:</w:t>
      </w:r>
      <w:r>
        <w:t xml:space="preserve"> the kayaking plan depends on the operator, river conditions, appropriate supervision, and safety decisions. Keep it optional and outside the core offer until confirmed.</w:t>
      </w:r>
    </w:p>
    <w:p>
      <w:r>
        <w:rPr>
          <w:b/>
        </w:rPr>
        <w:t>Trust risk:</w:t>
      </w:r>
      <w:r>
        <w:t xml:space="preserve"> a 15% fee can feel arbitrary if it is hidden. Explain exactly what it covers, show the itemized estimate, and confirm the final amount before payment.</w:t>
      </w:r>
    </w:p>
    <w:p>
      <w:pPr>
        <w:pStyle w:val="Heading1"/>
      </w:pPr>
      <w:r>
        <w:t>Participant-facing description</w:t>
      </w:r>
    </w:p>
    <w:p>
      <w:r>
        <w:rPr>
          <w:b/>
        </w:rPr>
        <w:t>A month to learn something difficult, with good people around you.</w:t>
      </w:r>
      <w:r>
        <w:t xml:space="preserve"> This is a 30-day self-directed learning residency in Rishikesh, designed especially for people between jobs who want to build a skill or finish a meaningful project.</w:t>
      </w:r>
    </w:p>
    <w:p>
      <w:r>
        <w:t xml:space="preserve">Choose your study track using </w:t>
      </w:r>
      <w:hyperlink r:id="rId11">
        <w:r>
          <w:rPr>
            <w:color w:val="176B68"/>
            <w:u w:val="single"/>
          </w:rPr>
          <w:t>studycoach.diy</w:t>
        </w:r>
      </w:hyperlink>
      <w:r>
        <w:t>, bring your own courses and resources, and work alongside people doing the same. Peers and the host help you track progress; there is no fixed curriculum or promise of a job.</w:t>
      </w:r>
    </w:p>
    <w:p>
      <w:r>
        <w:t>Kayaking, yoga drop-ins, kirtan, and other spiritual subjects are optional and depend on local availability. We are still confirming accommodation, food, workspace, and activity prices. The current core estimate is ₹62,000–66,000 per person for 30 days in a shared room, assuming 12–15 participants. Optional activities cost extra. The final itemized estimate, 15% coordination fee, and terms will be shared before anyone commits.</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37E7D"/>
        <w:sz w:val="16"/>
      </w:rPr>
      <w:t>Internal working draft • 27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37E7D"/>
        <w:sz w:val="16"/>
      </w:rPr>
      <w:t>RISHIKESH LEARNING RESIDENCY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D34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A4A49"/>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5686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568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80"/>
      <w:contextualSpacing/>
    </w:pPr>
    <w:rPr>
      <w:rFonts w:asciiTheme="majorHAnsi" w:eastAsiaTheme="majorEastAsia" w:hAnsiTheme="majorHAnsi" w:cstheme="majorBidi" w:ascii="Aptos Display" w:hAnsi="Aptos Display"/>
      <w:b/>
      <w:color w:val="1A4A4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tudycoach.diy" TargetMode="External"/><Relationship Id="rId12" Type="http://schemas.openxmlformats.org/officeDocument/2006/relationships/hyperlink" Target="https://github.com/naval200/ai-study" TargetMode="External"/><Relationship Id="rId13" Type="http://schemas.openxmlformats.org/officeDocument/2006/relationships/hyperlink" Target="https://docs.google.com/document/d/1HpagfX0jXN2ov1obf1JOlhFq2pX6bAbXEfdLFe5IGxw/edit?usp=sharing" TargetMode="External"/><Relationship Id="rId14" Type="http://schemas.openxmlformats.org/officeDocument/2006/relationships/hyperlink" Target="https://team4adventure.com/kayaking-course-bas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