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3038" w14:textId="16DF881F" w:rsidR="000C3240" w:rsidRPr="00B01F12" w:rsidRDefault="00B01F12" w:rsidP="00B01F12">
      <w:pPr>
        <w:jc w:val="center"/>
        <w:rPr>
          <w:rFonts w:ascii="Times New Roman" w:hAnsi="Times New Roman" w:cs="Times New Roman"/>
          <w:b/>
          <w:bCs/>
          <w:lang w:val="en-US"/>
        </w:rPr>
      </w:pPr>
      <w:r w:rsidRPr="00B01F12">
        <w:rPr>
          <w:rFonts w:ascii="Times New Roman" w:hAnsi="Times New Roman" w:cs="Times New Roman"/>
          <w:b/>
          <w:bCs/>
          <w:lang w:val="en-US"/>
        </w:rPr>
        <w:t>Task 1</w:t>
      </w:r>
    </w:p>
    <w:p w14:paraId="1AC4D471" w14:textId="77777777" w:rsidR="00B01F12" w:rsidRPr="00B01F12" w:rsidRDefault="00B01F12" w:rsidP="00B01F12">
      <w:pPr>
        <w:jc w:val="both"/>
        <w:rPr>
          <w:rFonts w:ascii="Times New Roman" w:hAnsi="Times New Roman" w:cs="Times New Roman"/>
          <w:b/>
          <w:bCs/>
        </w:rPr>
      </w:pPr>
      <w:r w:rsidRPr="00B01F12">
        <w:rPr>
          <w:rFonts w:ascii="Times New Roman" w:hAnsi="Times New Roman" w:cs="Times New Roman"/>
          <w:b/>
          <w:bCs/>
        </w:rPr>
        <w:t>Adverse Drug Reactions and Pharmacovigilance</w:t>
      </w:r>
    </w:p>
    <w:p w14:paraId="0C16AE3F" w14:textId="77777777" w:rsidR="00B01F12" w:rsidRPr="00B01F12" w:rsidRDefault="00B01F12" w:rsidP="00B01F12">
      <w:pPr>
        <w:jc w:val="both"/>
        <w:rPr>
          <w:rFonts w:ascii="Times New Roman" w:hAnsi="Times New Roman" w:cs="Times New Roman"/>
          <w:b/>
          <w:bCs/>
        </w:rPr>
      </w:pPr>
      <w:r w:rsidRPr="00B01F12">
        <w:rPr>
          <w:rFonts w:ascii="Times New Roman" w:hAnsi="Times New Roman" w:cs="Times New Roman"/>
          <w:b/>
          <w:bCs/>
        </w:rPr>
        <w:t>Classification of Adverse Drug Reactions</w:t>
      </w:r>
    </w:p>
    <w:p w14:paraId="5D276D65"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An </w:t>
      </w:r>
      <w:r w:rsidRPr="00B01F12">
        <w:rPr>
          <w:rFonts w:ascii="Times New Roman" w:hAnsi="Times New Roman" w:cs="Times New Roman"/>
          <w:b/>
          <w:bCs/>
        </w:rPr>
        <w:t>Adverse Drug Reaction (ADR)</w:t>
      </w:r>
      <w:r w:rsidRPr="00B01F12">
        <w:rPr>
          <w:rFonts w:ascii="Times New Roman" w:hAnsi="Times New Roman" w:cs="Times New Roman"/>
        </w:rPr>
        <w:t xml:space="preserve"> is a </w:t>
      </w:r>
      <w:r w:rsidRPr="00A54F43">
        <w:rPr>
          <w:rFonts w:ascii="Times New Roman" w:hAnsi="Times New Roman" w:cs="Times New Roman"/>
          <w:b/>
          <w:bCs/>
        </w:rPr>
        <w:t>harmful or unpleasant</w:t>
      </w:r>
      <w:r w:rsidRPr="00B01F12">
        <w:rPr>
          <w:rFonts w:ascii="Times New Roman" w:hAnsi="Times New Roman" w:cs="Times New Roman"/>
        </w:rPr>
        <w:t xml:space="preserve"> response that occurs after the use of a medicine at normally recommended doses. ADRs are important because every medicine can potentially produce unwanted effects in addition to its desired therapeutic effect. Pharmacovigilance helps identify, assess and prevent these unwanted effects. ADRs can be classified according to their mechanism or nature into pharmacological, pathological, genotoxic, allergic, idiosyncratic, pharmacogenetic and teratogenic reactions.</w:t>
      </w:r>
    </w:p>
    <w:p w14:paraId="4C9C929C"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Pharmacological ADRs</w:t>
      </w:r>
      <w:r w:rsidRPr="00B01F12">
        <w:rPr>
          <w:rFonts w:ascii="Times New Roman" w:hAnsi="Times New Roman" w:cs="Times New Roman"/>
        </w:rPr>
        <w:t xml:space="preserve"> occur because of the normal pharmacological action of a drug, but the effect becomes excessive or undesirable. These reactions are generally predictable because they are related to the known action of the medicine. For example, insulin lowers blood glucose, but excessive reduction in blood glucose can produce hypoglycaemia. Similarly, anticoagulant drugs such as warfarin reduce blood clotting, but excessive anticoagulation can result in bleeding. Therefore, pharmacological ADRs are usually predictable and dose-related.</w:t>
      </w:r>
    </w:p>
    <w:p w14:paraId="2DB13920"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Pathological ADRs</w:t>
      </w:r>
      <w:r w:rsidRPr="00B01F12">
        <w:rPr>
          <w:rFonts w:ascii="Times New Roman" w:hAnsi="Times New Roman" w:cs="Times New Roman"/>
        </w:rPr>
        <w:t xml:space="preserve"> are adverse reactions in which a drug produces or contributes to a pathological condition or organ injury. The medicine may damage a particular organ or interfere with normal physiological processes and produce disease-like changes. For example, prolonged use of some NSAIDs can cause gastric irritation, ulceration and gastrointestinal bleeding. Some medicines can also produce liver or kidney injury. The important point is that the drug produces a pathological change that results in clinical symptoms or disease.</w:t>
      </w:r>
    </w:p>
    <w:p w14:paraId="02E93AEC"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Genotoxic ADRs</w:t>
      </w:r>
      <w:r w:rsidRPr="00B01F12">
        <w:rPr>
          <w:rFonts w:ascii="Times New Roman" w:hAnsi="Times New Roman" w:cs="Times New Roman"/>
        </w:rPr>
        <w:t xml:space="preserve"> are associated with damage to the genetic material of cells, particularly DNA. Some drugs or their metabolites can cause DNA damage, mutations or chromosomal abnormalities. Certain anticancer medicines, for example, are designed to damage rapidly dividing cells and can also affect normal cells. Genotoxic effects are important because genetic damage may have long-term consequences, including the possibility of contributing to cancer or reproductive problems. Thus, the important word to remember for genotoxicity is </w:t>
      </w:r>
      <w:r w:rsidRPr="00B01F12">
        <w:rPr>
          <w:rFonts w:ascii="Times New Roman" w:hAnsi="Times New Roman" w:cs="Times New Roman"/>
          <w:b/>
          <w:bCs/>
        </w:rPr>
        <w:t>DNA damage</w:t>
      </w:r>
      <w:r w:rsidRPr="00B01F12">
        <w:rPr>
          <w:rFonts w:ascii="Times New Roman" w:hAnsi="Times New Roman" w:cs="Times New Roman"/>
        </w:rPr>
        <w:t>.</w:t>
      </w:r>
    </w:p>
    <w:p w14:paraId="48862F59"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Allergic ADRs</w:t>
      </w:r>
      <w:r w:rsidRPr="00B01F12">
        <w:rPr>
          <w:rFonts w:ascii="Times New Roman" w:hAnsi="Times New Roman" w:cs="Times New Roman"/>
        </w:rPr>
        <w:t xml:space="preserve"> occur because of an immune response to a drug or to a substance formed from the drug. The immune system recognizes the drug or drug-related substance as foreign and produces an inappropriate immune response. Penicillin, for example, can cause allergic reactions ranging from skin rashes and urticaria to severe anaphylaxis. Allergic ADRs are different from ordinary pharmacological effects because they are mediated by the immune system rather than simply being an excessive expression of the drug's normal pharmacological action.</w:t>
      </w:r>
    </w:p>
    <w:p w14:paraId="5ED34B57"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Idiosyncratic ADRs</w:t>
      </w:r>
      <w:r w:rsidRPr="00B01F12">
        <w:rPr>
          <w:rFonts w:ascii="Times New Roman" w:hAnsi="Times New Roman" w:cs="Times New Roman"/>
        </w:rPr>
        <w:t xml:space="preserve"> are unusual and unpredictable reactions that occur in certain individuals. These reactions cannot usually be predicted from the normal pharmacological action of the drug and may occur even when the medicine is given at the usual therapeutic dose. In other words, most patients may tolerate the medicine normally, while a particular patient develops an unusual reaction. The term idiosyncratic therefore refers to an unusual individual response that is difficult to predict.</w:t>
      </w:r>
    </w:p>
    <w:p w14:paraId="6AFE298F"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Pharmacogenetic ADRs</w:t>
      </w:r>
      <w:r w:rsidRPr="00B01F12">
        <w:rPr>
          <w:rFonts w:ascii="Times New Roman" w:hAnsi="Times New Roman" w:cs="Times New Roman"/>
        </w:rPr>
        <w:t xml:space="preserve"> occur because genetic differences between individuals can change the way they respond to medicines. Genetic variations can affect drug metabolism, transport, receptors or other biological processes. As a result, the same medicine and the same dose may produce different effects in different people. One patient may respond normally, another may experience toxicity, and another may receive inadequate therapeutic benefit. Pharmacogenetics is therefore important in understanding why individual patients can have different responses to the same medicine.</w:t>
      </w:r>
    </w:p>
    <w:p w14:paraId="338D54CD"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lastRenderedPageBreak/>
        <w:t>Teratogenic ADRs</w:t>
      </w:r>
      <w:r w:rsidRPr="00B01F12">
        <w:rPr>
          <w:rFonts w:ascii="Times New Roman" w:hAnsi="Times New Roman" w:cs="Times New Roman"/>
        </w:rPr>
        <w:t xml:space="preserve"> occur when exposure to a drug during pregnancy causes abnormal development of the embryo or </w:t>
      </w:r>
      <w:proofErr w:type="spellStart"/>
      <w:r w:rsidRPr="00B01F12">
        <w:rPr>
          <w:rFonts w:ascii="Times New Roman" w:hAnsi="Times New Roman" w:cs="Times New Roman"/>
        </w:rPr>
        <w:t>fetus</w:t>
      </w:r>
      <w:proofErr w:type="spellEnd"/>
      <w:r w:rsidRPr="00B01F12">
        <w:rPr>
          <w:rFonts w:ascii="Times New Roman" w:hAnsi="Times New Roman" w:cs="Times New Roman"/>
        </w:rPr>
        <w:t xml:space="preserve">. A teratogenic drug can potentially cause congenital abnormalities, developmental abnormalities, growth problems or other adverse effects on the developing </w:t>
      </w:r>
      <w:proofErr w:type="spellStart"/>
      <w:r w:rsidRPr="00B01F12">
        <w:rPr>
          <w:rFonts w:ascii="Times New Roman" w:hAnsi="Times New Roman" w:cs="Times New Roman"/>
        </w:rPr>
        <w:t>fetus</w:t>
      </w:r>
      <w:proofErr w:type="spellEnd"/>
      <w:r w:rsidRPr="00B01F12">
        <w:rPr>
          <w:rFonts w:ascii="Times New Roman" w:hAnsi="Times New Roman" w:cs="Times New Roman"/>
        </w:rPr>
        <w:t xml:space="preserve">. A classic historical example is </w:t>
      </w:r>
      <w:r w:rsidRPr="00B01F12">
        <w:rPr>
          <w:rFonts w:ascii="Times New Roman" w:hAnsi="Times New Roman" w:cs="Times New Roman"/>
          <w:b/>
          <w:bCs/>
        </w:rPr>
        <w:t>thalidomide</w:t>
      </w:r>
      <w:r w:rsidRPr="00B01F12">
        <w:rPr>
          <w:rFonts w:ascii="Times New Roman" w:hAnsi="Times New Roman" w:cs="Times New Roman"/>
        </w:rPr>
        <w:t>, which was associated with severe limb abnormalities in babies exposed during pregnancy. The risk of a teratogenic effect depends on the particular drug, dose, duration of exposure and, importantly, the stage of pregnancy at which exposure occurs.</w:t>
      </w:r>
    </w:p>
    <w:p w14:paraId="4FFB0E12" w14:textId="1C55E905" w:rsidR="00B01F12" w:rsidRPr="00B01F12" w:rsidRDefault="00B01F12" w:rsidP="00B01F12">
      <w:pPr>
        <w:jc w:val="both"/>
        <w:rPr>
          <w:rFonts w:ascii="Times New Roman" w:hAnsi="Times New Roman" w:cs="Times New Roman"/>
        </w:rPr>
      </w:pPr>
    </w:p>
    <w:p w14:paraId="6D579AF5" w14:textId="77777777" w:rsidR="00B01F12" w:rsidRPr="00B01F12" w:rsidRDefault="00B01F12" w:rsidP="00B01F12">
      <w:pPr>
        <w:jc w:val="both"/>
        <w:rPr>
          <w:rFonts w:ascii="Times New Roman" w:hAnsi="Times New Roman" w:cs="Times New Roman"/>
          <w:b/>
          <w:bCs/>
        </w:rPr>
      </w:pPr>
      <w:r w:rsidRPr="00B01F12">
        <w:rPr>
          <w:rFonts w:ascii="Times New Roman" w:hAnsi="Times New Roman" w:cs="Times New Roman"/>
          <w:b/>
          <w:bCs/>
        </w:rPr>
        <w:t>Types of Hypersensitivity Reactions</w:t>
      </w:r>
    </w:p>
    <w:p w14:paraId="54E0A1B6"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Hypersensitivity reactions are excessive or inappropriate immune responses that can cause tissue damage. In classical immunology, hypersensitivity reactions are divided into four types: </w:t>
      </w:r>
      <w:r w:rsidRPr="00B01F12">
        <w:rPr>
          <w:rFonts w:ascii="Times New Roman" w:hAnsi="Times New Roman" w:cs="Times New Roman"/>
          <w:b/>
          <w:bCs/>
        </w:rPr>
        <w:t>Type I, Type II, Type III and Type IV</w:t>
      </w:r>
      <w:r w:rsidRPr="00B01F12">
        <w:rPr>
          <w:rFonts w:ascii="Times New Roman" w:hAnsi="Times New Roman" w:cs="Times New Roman"/>
        </w:rPr>
        <w:t>. These types differ according to the immune mechanism involved.</w:t>
      </w:r>
    </w:p>
    <w:p w14:paraId="48A8B4EF"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Type I hypersensitivity</w:t>
      </w:r>
      <w:r w:rsidRPr="00B01F12">
        <w:rPr>
          <w:rFonts w:ascii="Times New Roman" w:hAnsi="Times New Roman" w:cs="Times New Roman"/>
        </w:rPr>
        <w:t xml:space="preserve"> is also called immediate hypersensitivity and is mainly mediated by </w:t>
      </w:r>
      <w:r w:rsidRPr="00B01F12">
        <w:rPr>
          <w:rFonts w:ascii="Times New Roman" w:hAnsi="Times New Roman" w:cs="Times New Roman"/>
          <w:b/>
          <w:bCs/>
        </w:rPr>
        <w:t>IgE antibodies</w:t>
      </w:r>
      <w:r w:rsidRPr="00B01F12">
        <w:rPr>
          <w:rFonts w:ascii="Times New Roman" w:hAnsi="Times New Roman" w:cs="Times New Roman"/>
        </w:rPr>
        <w:t xml:space="preserve">. During the first exposure, the person becomes sensitized and produces IgE antibodies against the allergen. These IgE antibodies attach to mast cells and basophils. When the person is exposed to the same allergen again, the allergen interacts with the IgE antibodies and causes mast cells to release substances such as histamine. This produces symptoms rapidly. Examples include anaphylaxis, urticaria, allergic rhinitis and some drug allergies. A severe allergic reaction to penicillin is an example of a Type I reaction. The easiest way to remember Type I is </w:t>
      </w:r>
      <w:r w:rsidRPr="00B01F12">
        <w:rPr>
          <w:rFonts w:ascii="Times New Roman" w:hAnsi="Times New Roman" w:cs="Times New Roman"/>
          <w:b/>
          <w:bCs/>
        </w:rPr>
        <w:t>IgE and immediate reaction</w:t>
      </w:r>
      <w:r w:rsidRPr="00B01F12">
        <w:rPr>
          <w:rFonts w:ascii="Times New Roman" w:hAnsi="Times New Roman" w:cs="Times New Roman"/>
        </w:rPr>
        <w:t>.</w:t>
      </w:r>
    </w:p>
    <w:p w14:paraId="0B320B4C"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Type II hypersensitivity</w:t>
      </w:r>
      <w:r w:rsidRPr="00B01F12">
        <w:rPr>
          <w:rFonts w:ascii="Times New Roman" w:hAnsi="Times New Roman" w:cs="Times New Roman"/>
        </w:rPr>
        <w:t xml:space="preserve"> is mainly mediated by </w:t>
      </w:r>
      <w:r w:rsidRPr="00B01F12">
        <w:rPr>
          <w:rFonts w:ascii="Times New Roman" w:hAnsi="Times New Roman" w:cs="Times New Roman"/>
          <w:b/>
          <w:bCs/>
        </w:rPr>
        <w:t>IgG or IgM antibodies</w:t>
      </w:r>
      <w:r w:rsidRPr="00B01F12">
        <w:rPr>
          <w:rFonts w:ascii="Times New Roman" w:hAnsi="Times New Roman" w:cs="Times New Roman"/>
        </w:rPr>
        <w:t xml:space="preserve"> directed against antigens associated with cells or tissues. The antibody may activate complement or other mechanisms and cause destruction or damage to the affected cells. Drug-induced haemolytic anaemia is an example of a reaction that can involve this mechanism, in which antibodies contribute to destruction of red blood cells. The important point is that Type II involves antibodies acting against cell-associated targets and may result in cell destruction or altered cell function.</w:t>
      </w:r>
    </w:p>
    <w:p w14:paraId="19E80741"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Type III hypersensitivity</w:t>
      </w:r>
      <w:r w:rsidRPr="00B01F12">
        <w:rPr>
          <w:rFonts w:ascii="Times New Roman" w:hAnsi="Times New Roman" w:cs="Times New Roman"/>
        </w:rPr>
        <w:t xml:space="preserve"> occurs because of the formation of </w:t>
      </w:r>
      <w:r w:rsidRPr="00B01F12">
        <w:rPr>
          <w:rFonts w:ascii="Times New Roman" w:hAnsi="Times New Roman" w:cs="Times New Roman"/>
          <w:b/>
          <w:bCs/>
        </w:rPr>
        <w:t>antigen-antibody immune complexes</w:t>
      </w:r>
      <w:r w:rsidRPr="00B01F12">
        <w:rPr>
          <w:rFonts w:ascii="Times New Roman" w:hAnsi="Times New Roman" w:cs="Times New Roman"/>
        </w:rPr>
        <w:t xml:space="preserve">. These immune complexes can circulate in the blood and become deposited in tissues. Their deposition can activate inflammatory mechanisms and produce tissue injury. Reactions involving immune complexes can affect blood vessels, joints, skin and kidneys. Some drug-related serum sickness-type reactions can involve this mechanism. Therefore, the key point for Type III is </w:t>
      </w:r>
      <w:r w:rsidRPr="00B01F12">
        <w:rPr>
          <w:rFonts w:ascii="Times New Roman" w:hAnsi="Times New Roman" w:cs="Times New Roman"/>
          <w:b/>
          <w:bCs/>
        </w:rPr>
        <w:t>immune-complex formation and deposition</w:t>
      </w:r>
      <w:r w:rsidRPr="00B01F12">
        <w:rPr>
          <w:rFonts w:ascii="Times New Roman" w:hAnsi="Times New Roman" w:cs="Times New Roman"/>
        </w:rPr>
        <w:t>.</w:t>
      </w:r>
    </w:p>
    <w:p w14:paraId="756AF545"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Type IV hypersensitivity</w:t>
      </w:r>
      <w:r w:rsidRPr="00B01F12">
        <w:rPr>
          <w:rFonts w:ascii="Times New Roman" w:hAnsi="Times New Roman" w:cs="Times New Roman"/>
        </w:rPr>
        <w:t xml:space="preserve"> is different from the first three types because it is primarily mediated by </w:t>
      </w:r>
      <w:r w:rsidRPr="00B01F12">
        <w:rPr>
          <w:rFonts w:ascii="Times New Roman" w:hAnsi="Times New Roman" w:cs="Times New Roman"/>
          <w:b/>
          <w:bCs/>
        </w:rPr>
        <w:t>T lymphocytes rather than antibodies</w:t>
      </w:r>
      <w:r w:rsidRPr="00B01F12">
        <w:rPr>
          <w:rFonts w:ascii="Times New Roman" w:hAnsi="Times New Roman" w:cs="Times New Roman"/>
        </w:rPr>
        <w:t xml:space="preserve">. It is also known as delayed hypersensitivity because the reaction generally develops more slowly, often over approximately 48 to 72 hours in classical examples. Contact dermatitis is a common example. Some drug-related skin reactions can also involve Type IV mechanisms. The important point to remember is that </w:t>
      </w:r>
      <w:r w:rsidRPr="00B01F12">
        <w:rPr>
          <w:rFonts w:ascii="Times New Roman" w:hAnsi="Times New Roman" w:cs="Times New Roman"/>
          <w:b/>
          <w:bCs/>
        </w:rPr>
        <w:t>Type IV is T-cell mediated and delayed</w:t>
      </w:r>
      <w:r w:rsidRPr="00B01F12">
        <w:rPr>
          <w:rFonts w:ascii="Times New Roman" w:hAnsi="Times New Roman" w:cs="Times New Roman"/>
        </w:rPr>
        <w:t>.</w:t>
      </w:r>
    </w:p>
    <w:p w14:paraId="23503BCC"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A simple way to remember the four types is: </w:t>
      </w:r>
      <w:r w:rsidRPr="00B01F12">
        <w:rPr>
          <w:rFonts w:ascii="Times New Roman" w:hAnsi="Times New Roman" w:cs="Times New Roman"/>
          <w:b/>
          <w:bCs/>
        </w:rPr>
        <w:t>Type I is IgE and immediate, Type II is antibody-mediated cell damage, Type III is immune-complex mediated, and Type IV is T-cell mediated and delayed.</w:t>
      </w:r>
    </w:p>
    <w:p w14:paraId="5812D1F5" w14:textId="7C77D5E7" w:rsidR="00B01F12" w:rsidRPr="00B01F12" w:rsidRDefault="00B01F12" w:rsidP="00B01F12">
      <w:pPr>
        <w:jc w:val="both"/>
        <w:rPr>
          <w:rFonts w:ascii="Times New Roman" w:hAnsi="Times New Roman" w:cs="Times New Roman"/>
        </w:rPr>
      </w:pPr>
    </w:p>
    <w:p w14:paraId="650D7D77" w14:textId="77777777" w:rsidR="00B01F12" w:rsidRPr="00B01F12" w:rsidRDefault="00B01F12" w:rsidP="00B01F12">
      <w:pPr>
        <w:jc w:val="both"/>
        <w:rPr>
          <w:rFonts w:ascii="Times New Roman" w:hAnsi="Times New Roman" w:cs="Times New Roman"/>
          <w:b/>
          <w:bCs/>
        </w:rPr>
      </w:pPr>
      <w:r w:rsidRPr="00B01F12">
        <w:rPr>
          <w:rFonts w:ascii="Times New Roman" w:hAnsi="Times New Roman" w:cs="Times New Roman"/>
          <w:b/>
          <w:bCs/>
        </w:rPr>
        <w:t>Teratogenic Drug Categories in Pregnancy</w:t>
      </w:r>
    </w:p>
    <w:p w14:paraId="519339C9"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Traditionally, medicines used during pregnancy were sometimes classified into </w:t>
      </w:r>
      <w:r w:rsidRPr="00B01F12">
        <w:rPr>
          <w:rFonts w:ascii="Times New Roman" w:hAnsi="Times New Roman" w:cs="Times New Roman"/>
          <w:b/>
          <w:bCs/>
        </w:rPr>
        <w:t>Category A, B, C, D and X</w:t>
      </w:r>
      <w:r w:rsidRPr="00B01F12">
        <w:rPr>
          <w:rFonts w:ascii="Times New Roman" w:hAnsi="Times New Roman" w:cs="Times New Roman"/>
        </w:rPr>
        <w:t xml:space="preserve"> according to the evidence of </w:t>
      </w:r>
      <w:proofErr w:type="spellStart"/>
      <w:r w:rsidRPr="00B01F12">
        <w:rPr>
          <w:rFonts w:ascii="Times New Roman" w:hAnsi="Times New Roman" w:cs="Times New Roman"/>
        </w:rPr>
        <w:t>fetal</w:t>
      </w:r>
      <w:proofErr w:type="spellEnd"/>
      <w:r w:rsidRPr="00B01F12">
        <w:rPr>
          <w:rFonts w:ascii="Times New Roman" w:hAnsi="Times New Roman" w:cs="Times New Roman"/>
        </w:rPr>
        <w:t xml:space="preserve"> risk. This classification is still encountered in textbooks and examination questions. However, it is important to know that the US FDA has discontinued the old A/B/C/D/X letter system for prescription-drug pregnancy </w:t>
      </w:r>
      <w:proofErr w:type="spellStart"/>
      <w:r w:rsidRPr="00B01F12">
        <w:rPr>
          <w:rFonts w:ascii="Times New Roman" w:hAnsi="Times New Roman" w:cs="Times New Roman"/>
        </w:rPr>
        <w:t>labeling</w:t>
      </w:r>
      <w:proofErr w:type="spellEnd"/>
      <w:r w:rsidRPr="00B01F12">
        <w:rPr>
          <w:rFonts w:ascii="Times New Roman" w:hAnsi="Times New Roman" w:cs="Times New Roman"/>
        </w:rPr>
        <w:t xml:space="preserve"> and replaced it with the </w:t>
      </w:r>
      <w:r w:rsidRPr="00B01F12">
        <w:rPr>
          <w:rFonts w:ascii="Times New Roman" w:hAnsi="Times New Roman" w:cs="Times New Roman"/>
          <w:b/>
          <w:bCs/>
        </w:rPr>
        <w:t xml:space="preserve">Pregnancy </w:t>
      </w:r>
      <w:r w:rsidRPr="00B01F12">
        <w:rPr>
          <w:rFonts w:ascii="Times New Roman" w:hAnsi="Times New Roman" w:cs="Times New Roman"/>
          <w:b/>
          <w:bCs/>
        </w:rPr>
        <w:lastRenderedPageBreak/>
        <w:t xml:space="preserve">and Lactation </w:t>
      </w:r>
      <w:proofErr w:type="spellStart"/>
      <w:r w:rsidRPr="00B01F12">
        <w:rPr>
          <w:rFonts w:ascii="Times New Roman" w:hAnsi="Times New Roman" w:cs="Times New Roman"/>
          <w:b/>
          <w:bCs/>
        </w:rPr>
        <w:t>Labeling</w:t>
      </w:r>
      <w:proofErr w:type="spellEnd"/>
      <w:r w:rsidRPr="00B01F12">
        <w:rPr>
          <w:rFonts w:ascii="Times New Roman" w:hAnsi="Times New Roman" w:cs="Times New Roman"/>
          <w:b/>
          <w:bCs/>
        </w:rPr>
        <w:t xml:space="preserve"> Rule (PLLR)</w:t>
      </w:r>
      <w:r w:rsidRPr="00B01F12">
        <w:rPr>
          <w:rFonts w:ascii="Times New Roman" w:hAnsi="Times New Roman" w:cs="Times New Roman"/>
        </w:rPr>
        <w:t xml:space="preserve">. Therefore, A–X should be understood as a traditional examination classification rather than the current FDA </w:t>
      </w:r>
      <w:proofErr w:type="spellStart"/>
      <w:r w:rsidRPr="00B01F12">
        <w:rPr>
          <w:rFonts w:ascii="Times New Roman" w:hAnsi="Times New Roman" w:cs="Times New Roman"/>
        </w:rPr>
        <w:t>labeling</w:t>
      </w:r>
      <w:proofErr w:type="spellEnd"/>
      <w:r w:rsidRPr="00B01F12">
        <w:rPr>
          <w:rFonts w:ascii="Times New Roman" w:hAnsi="Times New Roman" w:cs="Times New Roman"/>
        </w:rPr>
        <w:t xml:space="preserve"> system.</w:t>
      </w:r>
    </w:p>
    <w:p w14:paraId="181CC204"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Category A</w:t>
      </w:r>
      <w:r w:rsidRPr="00B01F12">
        <w:rPr>
          <w:rFonts w:ascii="Times New Roman" w:hAnsi="Times New Roman" w:cs="Times New Roman"/>
        </w:rPr>
        <w:t xml:space="preserve"> traditionally referred to medicines for which adequate and well-controlled human studies had not demonstrated a risk to the </w:t>
      </w:r>
      <w:proofErr w:type="spellStart"/>
      <w:r w:rsidRPr="00B01F12">
        <w:rPr>
          <w:rFonts w:ascii="Times New Roman" w:hAnsi="Times New Roman" w:cs="Times New Roman"/>
        </w:rPr>
        <w:t>fetus</w:t>
      </w:r>
      <w:proofErr w:type="spellEnd"/>
      <w:r w:rsidRPr="00B01F12">
        <w:rPr>
          <w:rFonts w:ascii="Times New Roman" w:hAnsi="Times New Roman" w:cs="Times New Roman"/>
        </w:rPr>
        <w:t xml:space="preserve">. In simple terms, there was no demonstrated </w:t>
      </w:r>
      <w:proofErr w:type="spellStart"/>
      <w:r w:rsidRPr="00B01F12">
        <w:rPr>
          <w:rFonts w:ascii="Times New Roman" w:hAnsi="Times New Roman" w:cs="Times New Roman"/>
        </w:rPr>
        <w:t>fetal</w:t>
      </w:r>
      <w:proofErr w:type="spellEnd"/>
      <w:r w:rsidRPr="00B01F12">
        <w:rPr>
          <w:rFonts w:ascii="Times New Roman" w:hAnsi="Times New Roman" w:cs="Times New Roman"/>
        </w:rPr>
        <w:t xml:space="preserve"> risk based on the available human evidence.</w:t>
      </w:r>
    </w:p>
    <w:p w14:paraId="224BDFCF"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Category B</w:t>
      </w:r>
      <w:r w:rsidRPr="00B01F12">
        <w:rPr>
          <w:rFonts w:ascii="Times New Roman" w:hAnsi="Times New Roman" w:cs="Times New Roman"/>
        </w:rPr>
        <w:t xml:space="preserve"> indicated that animal studies had not demonstrated </w:t>
      </w:r>
      <w:proofErr w:type="spellStart"/>
      <w:r w:rsidRPr="00B01F12">
        <w:rPr>
          <w:rFonts w:ascii="Times New Roman" w:hAnsi="Times New Roman" w:cs="Times New Roman"/>
        </w:rPr>
        <w:t>fetal</w:t>
      </w:r>
      <w:proofErr w:type="spellEnd"/>
      <w:r w:rsidRPr="00B01F12">
        <w:rPr>
          <w:rFonts w:ascii="Times New Roman" w:hAnsi="Times New Roman" w:cs="Times New Roman"/>
        </w:rPr>
        <w:t xml:space="preserve"> risk, but adequate controlled studies in pregnant women were unavailable, or animal findings suggesting risk had not been confirmed in adequate human studies. Therefore, the available evidence was generally reassuring but limited.</w:t>
      </w:r>
    </w:p>
    <w:p w14:paraId="53D5BF32"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Category C</w:t>
      </w:r>
      <w:r w:rsidRPr="00B01F12">
        <w:rPr>
          <w:rFonts w:ascii="Times New Roman" w:hAnsi="Times New Roman" w:cs="Times New Roman"/>
        </w:rPr>
        <w:t xml:space="preserve"> indicated that animal studies had demonstrated an adverse effect on the </w:t>
      </w:r>
      <w:proofErr w:type="spellStart"/>
      <w:r w:rsidRPr="00B01F12">
        <w:rPr>
          <w:rFonts w:ascii="Times New Roman" w:hAnsi="Times New Roman" w:cs="Times New Roman"/>
        </w:rPr>
        <w:t>fetus</w:t>
      </w:r>
      <w:proofErr w:type="spellEnd"/>
      <w:r w:rsidRPr="00B01F12">
        <w:rPr>
          <w:rFonts w:ascii="Times New Roman" w:hAnsi="Times New Roman" w:cs="Times New Roman"/>
        </w:rPr>
        <w:t xml:space="preserve"> or that adequate human studies were unavailable. Such medicines could still be used when the potential benefits were considered to justify the potential risks.</w:t>
      </w:r>
    </w:p>
    <w:p w14:paraId="4A14C771"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Category D</w:t>
      </w:r>
      <w:r w:rsidRPr="00B01F12">
        <w:rPr>
          <w:rFonts w:ascii="Times New Roman" w:hAnsi="Times New Roman" w:cs="Times New Roman"/>
        </w:rPr>
        <w:t xml:space="preserve"> indicated that there was evidence of human </w:t>
      </w:r>
      <w:proofErr w:type="spellStart"/>
      <w:r w:rsidRPr="00B01F12">
        <w:rPr>
          <w:rFonts w:ascii="Times New Roman" w:hAnsi="Times New Roman" w:cs="Times New Roman"/>
        </w:rPr>
        <w:t>fetal</w:t>
      </w:r>
      <w:proofErr w:type="spellEnd"/>
      <w:r w:rsidRPr="00B01F12">
        <w:rPr>
          <w:rFonts w:ascii="Times New Roman" w:hAnsi="Times New Roman" w:cs="Times New Roman"/>
        </w:rPr>
        <w:t xml:space="preserve"> risk. However, in certain clinical situations, the medicine could still be used if its potential benefits were considered to outweigh the potential risks.</w:t>
      </w:r>
    </w:p>
    <w:p w14:paraId="1A341192"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Category X</w:t>
      </w:r>
      <w:r w:rsidRPr="00B01F12">
        <w:rPr>
          <w:rFonts w:ascii="Times New Roman" w:hAnsi="Times New Roman" w:cs="Times New Roman"/>
        </w:rPr>
        <w:t xml:space="preserve"> represented medicines for which there was evidence of </w:t>
      </w:r>
      <w:proofErr w:type="spellStart"/>
      <w:r w:rsidRPr="00B01F12">
        <w:rPr>
          <w:rFonts w:ascii="Times New Roman" w:hAnsi="Times New Roman" w:cs="Times New Roman"/>
        </w:rPr>
        <w:t>fetal</w:t>
      </w:r>
      <w:proofErr w:type="spellEnd"/>
      <w:r w:rsidRPr="00B01F12">
        <w:rPr>
          <w:rFonts w:ascii="Times New Roman" w:hAnsi="Times New Roman" w:cs="Times New Roman"/>
        </w:rPr>
        <w:t xml:space="preserve"> abnormalities or </w:t>
      </w:r>
      <w:proofErr w:type="spellStart"/>
      <w:r w:rsidRPr="00B01F12">
        <w:rPr>
          <w:rFonts w:ascii="Times New Roman" w:hAnsi="Times New Roman" w:cs="Times New Roman"/>
        </w:rPr>
        <w:t>fetal</w:t>
      </w:r>
      <w:proofErr w:type="spellEnd"/>
      <w:r w:rsidRPr="00B01F12">
        <w:rPr>
          <w:rFonts w:ascii="Times New Roman" w:hAnsi="Times New Roman" w:cs="Times New Roman"/>
        </w:rPr>
        <w:t xml:space="preserve"> risk and for which the potential risks clearly outweighed any possible benefit during pregnancy. Therefore, these medicines were traditionally considered contraindicated in pregnancy.</w:t>
      </w:r>
    </w:p>
    <w:p w14:paraId="5A92C782" w14:textId="1875DBA4" w:rsidR="00B01F12" w:rsidRPr="00B01F12" w:rsidRDefault="00B01F12" w:rsidP="00B01F12">
      <w:pPr>
        <w:jc w:val="both"/>
        <w:rPr>
          <w:rFonts w:ascii="Times New Roman" w:hAnsi="Times New Roman" w:cs="Times New Roman"/>
        </w:rPr>
      </w:pPr>
    </w:p>
    <w:p w14:paraId="4BFCAC47" w14:textId="77777777" w:rsidR="00B01F12" w:rsidRPr="00B01F12" w:rsidRDefault="00B01F12" w:rsidP="00B01F12">
      <w:pPr>
        <w:jc w:val="both"/>
        <w:rPr>
          <w:rFonts w:ascii="Times New Roman" w:hAnsi="Times New Roman" w:cs="Times New Roman"/>
          <w:b/>
          <w:bCs/>
        </w:rPr>
      </w:pPr>
      <w:r w:rsidRPr="00B01F12">
        <w:rPr>
          <w:rFonts w:ascii="Times New Roman" w:hAnsi="Times New Roman" w:cs="Times New Roman"/>
          <w:b/>
          <w:bCs/>
        </w:rPr>
        <w:t>Causality Assessment of ADRs</w:t>
      </w:r>
    </w:p>
    <w:p w14:paraId="376A08C5"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When an adverse event occurs after a patient takes a medicine, it is not automatically possible to say that the medicine caused the event. The patient may have another illness, may be taking another medicine, or may have another risk factor that could explain the reaction. </w:t>
      </w:r>
      <w:r w:rsidRPr="00B01F12">
        <w:rPr>
          <w:rFonts w:ascii="Times New Roman" w:hAnsi="Times New Roman" w:cs="Times New Roman"/>
          <w:b/>
          <w:bCs/>
        </w:rPr>
        <w:t>Causality assessment</w:t>
      </w:r>
      <w:r w:rsidRPr="00B01F12">
        <w:rPr>
          <w:rFonts w:ascii="Times New Roman" w:hAnsi="Times New Roman" w:cs="Times New Roman"/>
        </w:rPr>
        <w:t xml:space="preserve"> is therefore the process of evaluating how likely it is that a particular medicine caused a particular adverse event.</w:t>
      </w:r>
    </w:p>
    <w:p w14:paraId="79DF3365"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Three important approaches used in pharmacovigilance and clinical assessment are the </w:t>
      </w:r>
      <w:r w:rsidRPr="00B01F12">
        <w:rPr>
          <w:rFonts w:ascii="Times New Roman" w:hAnsi="Times New Roman" w:cs="Times New Roman"/>
          <w:b/>
          <w:bCs/>
        </w:rPr>
        <w:t>Bradford Hill criteria, WHO-UMC causality assessment system and Naranjo algorithm</w:t>
      </w:r>
      <w:r w:rsidRPr="00B01F12">
        <w:rPr>
          <w:rFonts w:ascii="Times New Roman" w:hAnsi="Times New Roman" w:cs="Times New Roman"/>
        </w:rPr>
        <w:t>.</w:t>
      </w:r>
    </w:p>
    <w:p w14:paraId="02C3B4FD"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The </w:t>
      </w:r>
      <w:r w:rsidRPr="00B01F12">
        <w:rPr>
          <w:rFonts w:ascii="Times New Roman" w:hAnsi="Times New Roman" w:cs="Times New Roman"/>
          <w:b/>
          <w:bCs/>
        </w:rPr>
        <w:t>Bradford Hill criteria</w:t>
      </w:r>
      <w:r w:rsidRPr="00B01F12">
        <w:rPr>
          <w:rFonts w:ascii="Times New Roman" w:hAnsi="Times New Roman" w:cs="Times New Roman"/>
        </w:rPr>
        <w:t xml:space="preserve"> are a group of considerations used to assess whether an observed association is likely to represent a causal relationship. The commonly described criteria include strength of association, consistency, specificity, temporality, biological gradient, plausibility, coherence, experiment and analogy. Among these, </w:t>
      </w:r>
      <w:r w:rsidRPr="00B01F12">
        <w:rPr>
          <w:rFonts w:ascii="Times New Roman" w:hAnsi="Times New Roman" w:cs="Times New Roman"/>
          <w:b/>
          <w:bCs/>
        </w:rPr>
        <w:t>temporality is particularly important</w:t>
      </w:r>
      <w:r w:rsidRPr="00B01F12">
        <w:rPr>
          <w:rFonts w:ascii="Times New Roman" w:hAnsi="Times New Roman" w:cs="Times New Roman"/>
        </w:rPr>
        <w:t>, because the suspected cause must occur before the effect. For example, if a patient starts a medicine and then develops a particular reaction, the timing supports the possibility of a relationship. The biological gradient refers to a possible dose-response relationship, where increasing exposure is associated with increasing risk. Plausibility asks whether there is a biologically reasonable mechanism connecting the medicine with the reaction. The Bradford Hill criteria are not simply a numerical scoring system; they are considerations that help researchers evaluate causality, especially in epidemiological settings.</w:t>
      </w:r>
    </w:p>
    <w:p w14:paraId="2902F4CD"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The </w:t>
      </w:r>
      <w:r w:rsidRPr="00B01F12">
        <w:rPr>
          <w:rFonts w:ascii="Times New Roman" w:hAnsi="Times New Roman" w:cs="Times New Roman"/>
          <w:b/>
          <w:bCs/>
        </w:rPr>
        <w:t>WHO-UMC causality assessment system</w:t>
      </w:r>
      <w:r w:rsidRPr="00B01F12">
        <w:rPr>
          <w:rFonts w:ascii="Times New Roman" w:hAnsi="Times New Roman" w:cs="Times New Roman"/>
        </w:rPr>
        <w:t xml:space="preserve"> is widely used in pharmacovigilance. </w:t>
      </w:r>
      <w:proofErr w:type="spellStart"/>
      <w:r w:rsidRPr="00B01F12">
        <w:rPr>
          <w:rFonts w:ascii="Times New Roman" w:hAnsi="Times New Roman" w:cs="Times New Roman"/>
        </w:rPr>
        <w:t>PvPI</w:t>
      </w:r>
      <w:proofErr w:type="spellEnd"/>
      <w:r w:rsidRPr="00B01F12">
        <w:rPr>
          <w:rFonts w:ascii="Times New Roman" w:hAnsi="Times New Roman" w:cs="Times New Roman"/>
        </w:rPr>
        <w:t xml:space="preserve"> uses the WHO-UMC system to assess the causal relationship between suspected medicines and adverse events. The WHO-UMC system places reports into categories such as </w:t>
      </w:r>
      <w:r w:rsidRPr="00B01F12">
        <w:rPr>
          <w:rFonts w:ascii="Times New Roman" w:hAnsi="Times New Roman" w:cs="Times New Roman"/>
          <w:b/>
          <w:bCs/>
        </w:rPr>
        <w:t xml:space="preserve">Certain, Probable/Likely, Possible, Unlikely, Conditional/Unclassified and </w:t>
      </w:r>
      <w:proofErr w:type="spellStart"/>
      <w:r w:rsidRPr="00B01F12">
        <w:rPr>
          <w:rFonts w:ascii="Times New Roman" w:hAnsi="Times New Roman" w:cs="Times New Roman"/>
          <w:b/>
          <w:bCs/>
        </w:rPr>
        <w:t>Unassessable</w:t>
      </w:r>
      <w:proofErr w:type="spellEnd"/>
      <w:r w:rsidRPr="00B01F12">
        <w:rPr>
          <w:rFonts w:ascii="Times New Roman" w:hAnsi="Times New Roman" w:cs="Times New Roman"/>
          <w:b/>
          <w:bCs/>
        </w:rPr>
        <w:t>/Unclassifiable</w:t>
      </w:r>
      <w:r w:rsidRPr="00B01F12">
        <w:rPr>
          <w:rFonts w:ascii="Times New Roman" w:hAnsi="Times New Roman" w:cs="Times New Roman"/>
        </w:rPr>
        <w:t xml:space="preserve">. A reaction classified as Certain has a convincing temporal relationship and cannot reasonably be explained by another cause. A Probable or Likely reaction has a reasonable time relationship and alternative explanations are unlikely. A Possible reaction has a reasonable time relationship, but other drugs or diseases could also explain the reaction. An Unlikely reaction has a timing or other explanation that makes the drug relationship </w:t>
      </w:r>
      <w:r w:rsidRPr="00B01F12">
        <w:rPr>
          <w:rFonts w:ascii="Times New Roman" w:hAnsi="Times New Roman" w:cs="Times New Roman"/>
        </w:rPr>
        <w:lastRenderedPageBreak/>
        <w:t xml:space="preserve">improbable. Conditional or Unclassified means that more information is required, while </w:t>
      </w:r>
      <w:proofErr w:type="spellStart"/>
      <w:r w:rsidRPr="00B01F12">
        <w:rPr>
          <w:rFonts w:ascii="Times New Roman" w:hAnsi="Times New Roman" w:cs="Times New Roman"/>
        </w:rPr>
        <w:t>Unassessable</w:t>
      </w:r>
      <w:proofErr w:type="spellEnd"/>
      <w:r w:rsidRPr="00B01F12">
        <w:rPr>
          <w:rFonts w:ascii="Times New Roman" w:hAnsi="Times New Roman" w:cs="Times New Roman"/>
        </w:rPr>
        <w:t xml:space="preserve"> or Unclassifiable means that the available information is insufficient or contradictory.</w:t>
      </w:r>
    </w:p>
    <w:p w14:paraId="71761A5D"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The </w:t>
      </w:r>
      <w:r w:rsidRPr="00B01F12">
        <w:rPr>
          <w:rFonts w:ascii="Times New Roman" w:hAnsi="Times New Roman" w:cs="Times New Roman"/>
          <w:b/>
          <w:bCs/>
        </w:rPr>
        <w:t>Naranjo algorithm</w:t>
      </w:r>
      <w:r w:rsidRPr="00B01F12">
        <w:rPr>
          <w:rFonts w:ascii="Times New Roman" w:hAnsi="Times New Roman" w:cs="Times New Roman"/>
        </w:rPr>
        <w:t xml:space="preserve"> is another method used to assess the probability that a drug caused an adverse reaction. It consists of </w:t>
      </w:r>
      <w:r w:rsidRPr="00B01F12">
        <w:rPr>
          <w:rFonts w:ascii="Times New Roman" w:hAnsi="Times New Roman" w:cs="Times New Roman"/>
          <w:b/>
          <w:bCs/>
        </w:rPr>
        <w:t>10 questions</w:t>
      </w:r>
      <w:r w:rsidRPr="00B01F12">
        <w:rPr>
          <w:rFonts w:ascii="Times New Roman" w:hAnsi="Times New Roman" w:cs="Times New Roman"/>
        </w:rPr>
        <w:t xml:space="preserve"> concerning factors such as previous reports of the reaction, the temporal relationship between drug administration and the reaction, improvement after withdrawal of the medicine, recurrence after rechallenge, alternative causes, dose-response relationships, previous similar reactions and objective evidence. Each response receives a score, and the total score is interpreted as doubtful, possible, probable or definite. Traditionally, a score of </w:t>
      </w:r>
      <w:r w:rsidRPr="00B01F12">
        <w:rPr>
          <w:rFonts w:ascii="Times New Roman" w:hAnsi="Times New Roman" w:cs="Times New Roman"/>
          <w:b/>
          <w:bCs/>
        </w:rPr>
        <w:t>0 is doubtful, 1–4 is possible, 5–8 is probable and 9 or more is definite</w:t>
      </w:r>
      <w:r w:rsidRPr="00B01F12">
        <w:rPr>
          <w:rFonts w:ascii="Times New Roman" w:hAnsi="Times New Roman" w:cs="Times New Roman"/>
        </w:rPr>
        <w:t>.</w:t>
      </w:r>
    </w:p>
    <w:p w14:paraId="5ADE53F9"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The important difference is that </w:t>
      </w:r>
      <w:r w:rsidRPr="00B01F12">
        <w:rPr>
          <w:rFonts w:ascii="Times New Roman" w:hAnsi="Times New Roman" w:cs="Times New Roman"/>
          <w:b/>
          <w:bCs/>
        </w:rPr>
        <w:t>Bradford Hill uses causal considerations, WHO-UMC uses clinical causality categories, and Naranjo uses a questionnaire with a numerical score</w:t>
      </w:r>
      <w:r w:rsidRPr="00B01F12">
        <w:rPr>
          <w:rFonts w:ascii="Times New Roman" w:hAnsi="Times New Roman" w:cs="Times New Roman"/>
        </w:rPr>
        <w:t>. These tools do not mean that causation can always be proved with absolute certainty. They are methods for systematically assessing the available evidence.</w:t>
      </w:r>
    </w:p>
    <w:p w14:paraId="1E4870C5" w14:textId="0307A996" w:rsidR="00B01F12" w:rsidRPr="00B01F12" w:rsidRDefault="00B01F12" w:rsidP="00B01F12">
      <w:pPr>
        <w:jc w:val="both"/>
        <w:rPr>
          <w:rFonts w:ascii="Times New Roman" w:hAnsi="Times New Roman" w:cs="Times New Roman"/>
        </w:rPr>
      </w:pPr>
    </w:p>
    <w:p w14:paraId="5C1AEBF7" w14:textId="77777777" w:rsidR="00B01F12" w:rsidRPr="00B01F12" w:rsidRDefault="00B01F12" w:rsidP="00B01F12">
      <w:pPr>
        <w:jc w:val="both"/>
        <w:rPr>
          <w:rFonts w:ascii="Times New Roman" w:hAnsi="Times New Roman" w:cs="Times New Roman"/>
          <w:b/>
          <w:bCs/>
        </w:rPr>
      </w:pPr>
      <w:r w:rsidRPr="00B01F12">
        <w:rPr>
          <w:rFonts w:ascii="Times New Roman" w:hAnsi="Times New Roman" w:cs="Times New Roman"/>
          <w:b/>
          <w:bCs/>
        </w:rPr>
        <w:t>Introduction to Pharmacovigilance</w:t>
      </w:r>
    </w:p>
    <w:p w14:paraId="0FDB37A1"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b/>
          <w:bCs/>
        </w:rPr>
        <w:t>Pharmacovigilance</w:t>
      </w:r>
      <w:r w:rsidRPr="00B01F12">
        <w:rPr>
          <w:rFonts w:ascii="Times New Roman" w:hAnsi="Times New Roman" w:cs="Times New Roman"/>
        </w:rPr>
        <w:t xml:space="preserve"> is the science and activities concerned with the detection, assessment, understanding and prevention of adverse effects or other medicine-related problems. In simple language, pharmacovigilance means </w:t>
      </w:r>
      <w:r w:rsidRPr="00B01F12">
        <w:rPr>
          <w:rFonts w:ascii="Times New Roman" w:hAnsi="Times New Roman" w:cs="Times New Roman"/>
          <w:b/>
          <w:bCs/>
        </w:rPr>
        <w:t>continuously monitoring medicines to make sure that their benefits outweigh their risks and that patients are protected from avoidable harm</w:t>
      </w:r>
      <w:r w:rsidRPr="00B01F12">
        <w:rPr>
          <w:rFonts w:ascii="Times New Roman" w:hAnsi="Times New Roman" w:cs="Times New Roman"/>
        </w:rPr>
        <w:t>.</w:t>
      </w:r>
    </w:p>
    <w:p w14:paraId="67F1C73F"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Pharmacovigilance is necessary because clinical trials performed before a medicine is approved cannot identify every possible adverse reaction. Clinical trials usually involve a limited number of patients and are conducted for a limited period. After a medicine is marketed, it may be used by millions of people with different ages, diseases, genetic backgrounds and other medicines. Rare or delayed adverse reactions may therefore become apparent only after widespread use. Pharmacovigilance provides a system for detecting these problems.</w:t>
      </w:r>
    </w:p>
    <w:p w14:paraId="417598B9"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The main objectives of pharmacovigilance are to identify previously unknown adverse reactions, monitor known adverse reactions, identify risk factors, assess the seriousness of reactions, detect safety signals and contribute to assessment of the benefit-risk balance of medicines. Pharmacovigilance therefore plays an important role in </w:t>
      </w:r>
      <w:r w:rsidRPr="00B01F12">
        <w:rPr>
          <w:rFonts w:ascii="Times New Roman" w:hAnsi="Times New Roman" w:cs="Times New Roman"/>
          <w:b/>
          <w:bCs/>
        </w:rPr>
        <w:t>public health and patient safety</w:t>
      </w:r>
      <w:r w:rsidRPr="00B01F12">
        <w:rPr>
          <w:rFonts w:ascii="Times New Roman" w:hAnsi="Times New Roman" w:cs="Times New Roman"/>
        </w:rPr>
        <w:t>. Information obtained through pharmacovigilance can contribute to changes in prescribing information, safety warnings, additional monitoring or other regulatory actions when appropriate.</w:t>
      </w:r>
    </w:p>
    <w:p w14:paraId="5770CD11"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An important principle is that healthcare professionals and patients </w:t>
      </w:r>
      <w:r w:rsidRPr="00B01F12">
        <w:rPr>
          <w:rFonts w:ascii="Times New Roman" w:hAnsi="Times New Roman" w:cs="Times New Roman"/>
          <w:b/>
          <w:bCs/>
        </w:rPr>
        <w:t>do not need to be completely certain that a medicine caused a reaction before reporting a suspected ADR</w:t>
      </w:r>
      <w:r w:rsidRPr="00B01F12">
        <w:rPr>
          <w:rFonts w:ascii="Times New Roman" w:hAnsi="Times New Roman" w:cs="Times New Roman"/>
        </w:rPr>
        <w:t>. Reporting suspected reactions creates a larger pool of safety information that can subsequently be assessed by pharmacovigilance experts.</w:t>
      </w:r>
    </w:p>
    <w:p w14:paraId="1D77F98B" w14:textId="5801985D" w:rsidR="00B01F12" w:rsidRPr="00B01F12" w:rsidRDefault="00B01F12" w:rsidP="00B01F12">
      <w:pPr>
        <w:jc w:val="both"/>
        <w:rPr>
          <w:rFonts w:ascii="Times New Roman" w:hAnsi="Times New Roman" w:cs="Times New Roman"/>
        </w:rPr>
      </w:pPr>
    </w:p>
    <w:p w14:paraId="1EAD0059" w14:textId="77777777" w:rsidR="00B01F12" w:rsidRPr="00B01F12" w:rsidRDefault="00B01F12" w:rsidP="00B01F12">
      <w:pPr>
        <w:jc w:val="both"/>
        <w:rPr>
          <w:rFonts w:ascii="Times New Roman" w:hAnsi="Times New Roman" w:cs="Times New Roman"/>
          <w:b/>
          <w:bCs/>
        </w:rPr>
      </w:pPr>
      <w:r w:rsidRPr="00B01F12">
        <w:rPr>
          <w:rFonts w:ascii="Times New Roman" w:hAnsi="Times New Roman" w:cs="Times New Roman"/>
          <w:b/>
          <w:bCs/>
        </w:rPr>
        <w:t>Reporting an ADR in India</w:t>
      </w:r>
    </w:p>
    <w:p w14:paraId="6DF3084F"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In India, suspected ADRs can be reported through the </w:t>
      </w:r>
      <w:r w:rsidRPr="00B01F12">
        <w:rPr>
          <w:rFonts w:ascii="Times New Roman" w:hAnsi="Times New Roman" w:cs="Times New Roman"/>
          <w:b/>
          <w:bCs/>
        </w:rPr>
        <w:t>Pharmacovigilance Programme of India (</w:t>
      </w:r>
      <w:proofErr w:type="spellStart"/>
      <w:r w:rsidRPr="00B01F12">
        <w:rPr>
          <w:rFonts w:ascii="Times New Roman" w:hAnsi="Times New Roman" w:cs="Times New Roman"/>
          <w:b/>
          <w:bCs/>
        </w:rPr>
        <w:t>PvPI</w:t>
      </w:r>
      <w:proofErr w:type="spellEnd"/>
      <w:r w:rsidRPr="00B01F12">
        <w:rPr>
          <w:rFonts w:ascii="Times New Roman" w:hAnsi="Times New Roman" w:cs="Times New Roman"/>
          <w:b/>
          <w:bCs/>
        </w:rPr>
        <w:t>)</w:t>
      </w:r>
      <w:r w:rsidRPr="00B01F12">
        <w:rPr>
          <w:rFonts w:ascii="Times New Roman" w:hAnsi="Times New Roman" w:cs="Times New Roman"/>
        </w:rPr>
        <w:t xml:space="preserve">. One method is the </w:t>
      </w:r>
      <w:r w:rsidRPr="00B01F12">
        <w:rPr>
          <w:rFonts w:ascii="Times New Roman" w:hAnsi="Times New Roman" w:cs="Times New Roman"/>
          <w:b/>
          <w:bCs/>
        </w:rPr>
        <w:t>Suspected Adverse Drug Reaction Reporting Form</w:t>
      </w:r>
      <w:r w:rsidRPr="00B01F12">
        <w:rPr>
          <w:rFonts w:ascii="Times New Roman" w:hAnsi="Times New Roman" w:cs="Times New Roman"/>
        </w:rPr>
        <w:t>. The form collects information about the patient, the suspected reaction, the suspected medicine, other medicines being taken and the person reporting the reaction. The information helps pharmacovigilance experts assess the case and determine whether further investigation is required. The Indian Pharmacopoeia Commission provides ADR reporting forms and information about ADR Monitoring Centres.</w:t>
      </w:r>
    </w:p>
    <w:p w14:paraId="1F929E76"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lastRenderedPageBreak/>
        <w:t>The report generally contains information about the patient, such as age and sex, along with details of the adverse reaction. The reporter should describe what happened, when the reaction started and what happened after treatment or withdrawal of the suspected medicine. Details of the suspected drug are also important, including the drug name, dose, route of administration, frequency, dates of starting and stopping the medicine and the reason for which it was prescribed. Other medicines being taken by the patient should also be mentioned because they may be alternative causes of the reaction.</w:t>
      </w:r>
    </w:p>
    <w:p w14:paraId="56D5CDBD"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ADR reporting is also available through the </w:t>
      </w:r>
      <w:r w:rsidRPr="00B01F12">
        <w:rPr>
          <w:rFonts w:ascii="Times New Roman" w:hAnsi="Times New Roman" w:cs="Times New Roman"/>
          <w:b/>
          <w:bCs/>
        </w:rPr>
        <w:t>ADR-</w:t>
      </w:r>
      <w:proofErr w:type="spellStart"/>
      <w:r w:rsidRPr="00B01F12">
        <w:rPr>
          <w:rFonts w:ascii="Times New Roman" w:hAnsi="Times New Roman" w:cs="Times New Roman"/>
          <w:b/>
          <w:bCs/>
        </w:rPr>
        <w:t>PvPI</w:t>
      </w:r>
      <w:proofErr w:type="spellEnd"/>
      <w:r w:rsidRPr="00B01F12">
        <w:rPr>
          <w:rFonts w:ascii="Times New Roman" w:hAnsi="Times New Roman" w:cs="Times New Roman"/>
          <w:b/>
          <w:bCs/>
        </w:rPr>
        <w:t xml:space="preserve"> mobile application</w:t>
      </w:r>
      <w:r w:rsidRPr="00B01F12">
        <w:rPr>
          <w:rFonts w:ascii="Times New Roman" w:hAnsi="Times New Roman" w:cs="Times New Roman"/>
        </w:rPr>
        <w:t>. The app provides a convenient method for reporting suspected adverse drug reactions electronically. The Indian Pharmacopoeia Commission currently provides information about the ADR-</w:t>
      </w:r>
      <w:proofErr w:type="spellStart"/>
      <w:r w:rsidRPr="00B01F12">
        <w:rPr>
          <w:rFonts w:ascii="Times New Roman" w:hAnsi="Times New Roman" w:cs="Times New Roman"/>
        </w:rPr>
        <w:t>PvPI</w:t>
      </w:r>
      <w:proofErr w:type="spellEnd"/>
      <w:r w:rsidRPr="00B01F12">
        <w:rPr>
          <w:rFonts w:ascii="Times New Roman" w:hAnsi="Times New Roman" w:cs="Times New Roman"/>
        </w:rPr>
        <w:t xml:space="preserve"> application and its reporting facilities.</w:t>
      </w:r>
    </w:p>
    <w:p w14:paraId="6342A054"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Patients and consumers can also report suspected ADRs. </w:t>
      </w:r>
      <w:proofErr w:type="spellStart"/>
      <w:r w:rsidRPr="00B01F12">
        <w:rPr>
          <w:rFonts w:ascii="Times New Roman" w:hAnsi="Times New Roman" w:cs="Times New Roman"/>
        </w:rPr>
        <w:t>PvPI</w:t>
      </w:r>
      <w:proofErr w:type="spellEnd"/>
      <w:r w:rsidRPr="00B01F12">
        <w:rPr>
          <w:rFonts w:ascii="Times New Roman" w:hAnsi="Times New Roman" w:cs="Times New Roman"/>
        </w:rPr>
        <w:t xml:space="preserve"> provides consumer reporting forms, including forms in several Indian languages. This is important because patients themselves may notice reactions that are not immediately recognized by healthcare professionals.</w:t>
      </w:r>
    </w:p>
    <w:p w14:paraId="0E0D9A19"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The currently listed </w:t>
      </w:r>
      <w:proofErr w:type="spellStart"/>
      <w:r w:rsidRPr="00B01F12">
        <w:rPr>
          <w:rFonts w:ascii="Times New Roman" w:hAnsi="Times New Roman" w:cs="Times New Roman"/>
        </w:rPr>
        <w:t>PvPI</w:t>
      </w:r>
      <w:proofErr w:type="spellEnd"/>
      <w:r w:rsidRPr="00B01F12">
        <w:rPr>
          <w:rFonts w:ascii="Times New Roman" w:hAnsi="Times New Roman" w:cs="Times New Roman"/>
        </w:rPr>
        <w:t xml:space="preserve"> helpline is </w:t>
      </w:r>
      <w:r w:rsidRPr="00B01F12">
        <w:rPr>
          <w:rFonts w:ascii="Times New Roman" w:hAnsi="Times New Roman" w:cs="Times New Roman"/>
          <w:b/>
          <w:bCs/>
        </w:rPr>
        <w:t>1800-180-3024</w:t>
      </w:r>
      <w:r w:rsidRPr="00B01F12">
        <w:rPr>
          <w:rFonts w:ascii="Times New Roman" w:hAnsi="Times New Roman" w:cs="Times New Roman"/>
        </w:rPr>
        <w:t>, with IPC listing its working hours as 9:00 AM to 5:30 PM on working days.</w:t>
      </w:r>
    </w:p>
    <w:p w14:paraId="3ADD73EB" w14:textId="503EFC75" w:rsidR="00B01F12" w:rsidRPr="00B01F12" w:rsidRDefault="00B01F12" w:rsidP="00B01F12">
      <w:pPr>
        <w:jc w:val="both"/>
        <w:rPr>
          <w:rFonts w:ascii="Times New Roman" w:hAnsi="Times New Roman" w:cs="Times New Roman"/>
        </w:rPr>
      </w:pPr>
    </w:p>
    <w:p w14:paraId="5CB4D91C" w14:textId="77777777" w:rsidR="00B01F12" w:rsidRPr="00B01F12" w:rsidRDefault="00B01F12" w:rsidP="00B01F12">
      <w:pPr>
        <w:jc w:val="both"/>
        <w:rPr>
          <w:rFonts w:ascii="Times New Roman" w:hAnsi="Times New Roman" w:cs="Times New Roman"/>
          <w:b/>
          <w:bCs/>
        </w:rPr>
      </w:pPr>
      <w:r w:rsidRPr="00B01F12">
        <w:rPr>
          <w:rFonts w:ascii="Times New Roman" w:hAnsi="Times New Roman" w:cs="Times New Roman"/>
          <w:b/>
          <w:bCs/>
        </w:rPr>
        <w:t>Pharmacovigilance Programme of India</w:t>
      </w:r>
    </w:p>
    <w:p w14:paraId="20F9DFBD"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The </w:t>
      </w:r>
      <w:r w:rsidRPr="00B01F12">
        <w:rPr>
          <w:rFonts w:ascii="Times New Roman" w:hAnsi="Times New Roman" w:cs="Times New Roman"/>
          <w:b/>
          <w:bCs/>
        </w:rPr>
        <w:t xml:space="preserve">Pharmacovigilance Programme of India, or </w:t>
      </w:r>
      <w:proofErr w:type="spellStart"/>
      <w:r w:rsidRPr="00B01F12">
        <w:rPr>
          <w:rFonts w:ascii="Times New Roman" w:hAnsi="Times New Roman" w:cs="Times New Roman"/>
          <w:b/>
          <w:bCs/>
        </w:rPr>
        <w:t>PvPI</w:t>
      </w:r>
      <w:proofErr w:type="spellEnd"/>
      <w:r w:rsidRPr="00B01F12">
        <w:rPr>
          <w:rFonts w:ascii="Times New Roman" w:hAnsi="Times New Roman" w:cs="Times New Roman"/>
        </w:rPr>
        <w:t xml:space="preserve">, is India's national programme for monitoring the safety of medicines. It was initially launched in </w:t>
      </w:r>
      <w:r w:rsidRPr="00B01F12">
        <w:rPr>
          <w:rFonts w:ascii="Times New Roman" w:hAnsi="Times New Roman" w:cs="Times New Roman"/>
          <w:b/>
          <w:bCs/>
        </w:rPr>
        <w:t>2010</w:t>
      </w:r>
      <w:r w:rsidRPr="00B01F12">
        <w:rPr>
          <w:rFonts w:ascii="Times New Roman" w:hAnsi="Times New Roman" w:cs="Times New Roman"/>
        </w:rPr>
        <w:t xml:space="preserve">, with AIIMS New Delhi as the National Coordinating Centre. In 2011, the National Coordinating Centre was shifted to the </w:t>
      </w:r>
      <w:r w:rsidRPr="00B01F12">
        <w:rPr>
          <w:rFonts w:ascii="Times New Roman" w:hAnsi="Times New Roman" w:cs="Times New Roman"/>
          <w:b/>
          <w:bCs/>
        </w:rPr>
        <w:t>Indian Pharmacopoeia Commission (IPC)</w:t>
      </w:r>
      <w:r w:rsidRPr="00B01F12">
        <w:rPr>
          <w:rFonts w:ascii="Times New Roman" w:hAnsi="Times New Roman" w:cs="Times New Roman"/>
        </w:rPr>
        <w:t xml:space="preserve"> in Ghaziabad.</w:t>
      </w:r>
    </w:p>
    <w:p w14:paraId="2D0923F6"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The </w:t>
      </w:r>
      <w:r w:rsidRPr="00B01F12">
        <w:rPr>
          <w:rFonts w:ascii="Times New Roman" w:hAnsi="Times New Roman" w:cs="Times New Roman"/>
          <w:b/>
          <w:bCs/>
        </w:rPr>
        <w:t>Indian Pharmacopoeia Commission</w:t>
      </w:r>
      <w:r w:rsidRPr="00B01F12">
        <w:rPr>
          <w:rFonts w:ascii="Times New Roman" w:hAnsi="Times New Roman" w:cs="Times New Roman"/>
        </w:rPr>
        <w:t xml:space="preserve"> currently serves as the National Coordinating Centre for </w:t>
      </w:r>
      <w:proofErr w:type="spellStart"/>
      <w:r w:rsidRPr="00B01F12">
        <w:rPr>
          <w:rFonts w:ascii="Times New Roman" w:hAnsi="Times New Roman" w:cs="Times New Roman"/>
        </w:rPr>
        <w:t>PvPI</w:t>
      </w:r>
      <w:proofErr w:type="spellEnd"/>
      <w:r w:rsidRPr="00B01F12">
        <w:rPr>
          <w:rFonts w:ascii="Times New Roman" w:hAnsi="Times New Roman" w:cs="Times New Roman"/>
        </w:rPr>
        <w:t xml:space="preserve">. ADR reports are collected through a network of </w:t>
      </w:r>
      <w:r w:rsidRPr="00B01F12">
        <w:rPr>
          <w:rFonts w:ascii="Times New Roman" w:hAnsi="Times New Roman" w:cs="Times New Roman"/>
          <w:b/>
          <w:bCs/>
        </w:rPr>
        <w:t>ADR Monitoring Centres (AMCs)</w:t>
      </w:r>
      <w:r w:rsidRPr="00B01F12">
        <w:rPr>
          <w:rFonts w:ascii="Times New Roman" w:hAnsi="Times New Roman" w:cs="Times New Roman"/>
        </w:rPr>
        <w:t xml:space="preserve"> located at participating healthcare institutions. These reports are assessed and </w:t>
      </w:r>
      <w:proofErr w:type="spellStart"/>
      <w:r w:rsidRPr="00B01F12">
        <w:rPr>
          <w:rFonts w:ascii="Times New Roman" w:hAnsi="Times New Roman" w:cs="Times New Roman"/>
        </w:rPr>
        <w:t>analyzed</w:t>
      </w:r>
      <w:proofErr w:type="spellEnd"/>
      <w:r w:rsidRPr="00B01F12">
        <w:rPr>
          <w:rFonts w:ascii="Times New Roman" w:hAnsi="Times New Roman" w:cs="Times New Roman"/>
        </w:rPr>
        <w:t xml:space="preserve"> to identify possible safety signals and other medicine-related safety problems. Relevant safety information can then be communicated to the country's drug regulatory system, including </w:t>
      </w:r>
      <w:r w:rsidRPr="00B01F12">
        <w:rPr>
          <w:rFonts w:ascii="Times New Roman" w:hAnsi="Times New Roman" w:cs="Times New Roman"/>
          <w:b/>
          <w:bCs/>
        </w:rPr>
        <w:t>CDSCO</w:t>
      </w:r>
      <w:r w:rsidRPr="00B01F12">
        <w:rPr>
          <w:rFonts w:ascii="Times New Roman" w:hAnsi="Times New Roman" w:cs="Times New Roman"/>
        </w:rPr>
        <w:t>, for appropriate regulatory consideration.</w:t>
      </w:r>
    </w:p>
    <w:p w14:paraId="52B56716"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The basic flow of </w:t>
      </w:r>
      <w:proofErr w:type="spellStart"/>
      <w:r w:rsidRPr="00B01F12">
        <w:rPr>
          <w:rFonts w:ascii="Times New Roman" w:hAnsi="Times New Roman" w:cs="Times New Roman"/>
        </w:rPr>
        <w:t>PvPI</w:t>
      </w:r>
      <w:proofErr w:type="spellEnd"/>
      <w:r w:rsidRPr="00B01F12">
        <w:rPr>
          <w:rFonts w:ascii="Times New Roman" w:hAnsi="Times New Roman" w:cs="Times New Roman"/>
        </w:rPr>
        <w:t xml:space="preserve"> can therefore be understood as follows: a patient develops a suspected adverse reaction, the reaction is reported by a patient or healthcare professional, the report reaches an ADR Monitoring Centre, the report is assessed and the suspected causal relationship is evaluated. The information is then </w:t>
      </w:r>
      <w:proofErr w:type="spellStart"/>
      <w:r w:rsidRPr="00B01F12">
        <w:rPr>
          <w:rFonts w:ascii="Times New Roman" w:hAnsi="Times New Roman" w:cs="Times New Roman"/>
        </w:rPr>
        <w:t>analyzed</w:t>
      </w:r>
      <w:proofErr w:type="spellEnd"/>
      <w:r w:rsidRPr="00B01F12">
        <w:rPr>
          <w:rFonts w:ascii="Times New Roman" w:hAnsi="Times New Roman" w:cs="Times New Roman"/>
        </w:rPr>
        <w:t xml:space="preserve"> along with other reports to identify possible patterns or safety signals. When a potential safety issue is identified, it can contribute to further investigation and regulatory action.</w:t>
      </w:r>
    </w:p>
    <w:p w14:paraId="1440A537" w14:textId="77777777" w:rsidR="00B01F12" w:rsidRPr="00B01F12" w:rsidRDefault="00B01F12" w:rsidP="00B01F12">
      <w:pPr>
        <w:jc w:val="both"/>
        <w:rPr>
          <w:rFonts w:ascii="Times New Roman" w:hAnsi="Times New Roman" w:cs="Times New Roman"/>
        </w:rPr>
      </w:pPr>
      <w:r w:rsidRPr="00B01F12">
        <w:rPr>
          <w:rFonts w:ascii="Times New Roman" w:hAnsi="Times New Roman" w:cs="Times New Roman"/>
        </w:rPr>
        <w:t xml:space="preserve">A </w:t>
      </w:r>
      <w:r w:rsidRPr="00B01F12">
        <w:rPr>
          <w:rFonts w:ascii="Times New Roman" w:hAnsi="Times New Roman" w:cs="Times New Roman"/>
          <w:b/>
          <w:bCs/>
        </w:rPr>
        <w:t>safety signal</w:t>
      </w:r>
      <w:r w:rsidRPr="00B01F12">
        <w:rPr>
          <w:rFonts w:ascii="Times New Roman" w:hAnsi="Times New Roman" w:cs="Times New Roman"/>
        </w:rPr>
        <w:t xml:space="preserve"> does not automatically mean that a medicine has been proven to cause a particular adverse event. Instead, it means that the available information suggests a possible new relationship or a new aspect of an existing relationship that requires further investigation. This distinction is important in pharmacovigilance because individual reports alone generally cannot establish causation.</w:t>
      </w:r>
    </w:p>
    <w:p w14:paraId="172D28CC" w14:textId="77777777" w:rsidR="00B01F12" w:rsidRPr="00B01F12" w:rsidRDefault="00B01F12" w:rsidP="00B01F12">
      <w:pPr>
        <w:jc w:val="both"/>
        <w:rPr>
          <w:rFonts w:ascii="Times New Roman" w:hAnsi="Times New Roman" w:cs="Times New Roman"/>
          <w:lang w:val="en-US"/>
        </w:rPr>
      </w:pPr>
    </w:p>
    <w:sectPr w:rsidR="00B01F12" w:rsidRPr="00B01F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12"/>
    <w:rsid w:val="000C3240"/>
    <w:rsid w:val="00324789"/>
    <w:rsid w:val="005F5146"/>
    <w:rsid w:val="007F0FFA"/>
    <w:rsid w:val="00A54F43"/>
    <w:rsid w:val="00B01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2E4F"/>
  <w15:chartTrackingRefBased/>
  <w15:docId w15:val="{5F6C0377-0CCE-4F19-B26E-F2E8EB61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F12"/>
    <w:rPr>
      <w:rFonts w:eastAsiaTheme="majorEastAsia" w:cstheme="majorBidi"/>
      <w:color w:val="272727" w:themeColor="text1" w:themeTint="D8"/>
    </w:rPr>
  </w:style>
  <w:style w:type="paragraph" w:styleId="Title">
    <w:name w:val="Title"/>
    <w:basedOn w:val="Normal"/>
    <w:next w:val="Normal"/>
    <w:link w:val="TitleChar"/>
    <w:uiPriority w:val="10"/>
    <w:qFormat/>
    <w:rsid w:val="00B01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F12"/>
    <w:pPr>
      <w:spacing w:before="160"/>
      <w:jc w:val="center"/>
    </w:pPr>
    <w:rPr>
      <w:i/>
      <w:iCs/>
      <w:color w:val="404040" w:themeColor="text1" w:themeTint="BF"/>
    </w:rPr>
  </w:style>
  <w:style w:type="character" w:customStyle="1" w:styleId="QuoteChar">
    <w:name w:val="Quote Char"/>
    <w:basedOn w:val="DefaultParagraphFont"/>
    <w:link w:val="Quote"/>
    <w:uiPriority w:val="29"/>
    <w:rsid w:val="00B01F12"/>
    <w:rPr>
      <w:i/>
      <w:iCs/>
      <w:color w:val="404040" w:themeColor="text1" w:themeTint="BF"/>
    </w:rPr>
  </w:style>
  <w:style w:type="paragraph" w:styleId="ListParagraph">
    <w:name w:val="List Paragraph"/>
    <w:basedOn w:val="Normal"/>
    <w:uiPriority w:val="34"/>
    <w:qFormat/>
    <w:rsid w:val="00B01F12"/>
    <w:pPr>
      <w:ind w:left="720"/>
      <w:contextualSpacing/>
    </w:pPr>
  </w:style>
  <w:style w:type="character" w:styleId="IntenseEmphasis">
    <w:name w:val="Intense Emphasis"/>
    <w:basedOn w:val="DefaultParagraphFont"/>
    <w:uiPriority w:val="21"/>
    <w:qFormat/>
    <w:rsid w:val="00B01F12"/>
    <w:rPr>
      <w:i/>
      <w:iCs/>
      <w:color w:val="0F4761" w:themeColor="accent1" w:themeShade="BF"/>
    </w:rPr>
  </w:style>
  <w:style w:type="paragraph" w:styleId="IntenseQuote">
    <w:name w:val="Intense Quote"/>
    <w:basedOn w:val="Normal"/>
    <w:next w:val="Normal"/>
    <w:link w:val="IntenseQuoteChar"/>
    <w:uiPriority w:val="30"/>
    <w:qFormat/>
    <w:rsid w:val="00B01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F12"/>
    <w:rPr>
      <w:i/>
      <w:iCs/>
      <w:color w:val="0F4761" w:themeColor="accent1" w:themeShade="BF"/>
    </w:rPr>
  </w:style>
  <w:style w:type="character" w:styleId="IntenseReference">
    <w:name w:val="Intense Reference"/>
    <w:basedOn w:val="DefaultParagraphFont"/>
    <w:uiPriority w:val="32"/>
    <w:qFormat/>
    <w:rsid w:val="00B01F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2705</Words>
  <Characters>15421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Navale</dc:creator>
  <cp:keywords/>
  <dc:description/>
  <cp:lastModifiedBy>Vaishnavi Navale</cp:lastModifiedBy>
  <cp:revision>1</cp:revision>
  <dcterms:created xsi:type="dcterms:W3CDTF">2026-10-01T12:13:00Z</dcterms:created>
  <dcterms:modified xsi:type="dcterms:W3CDTF">2026-10-01T12:40:00Z</dcterms:modified>
</cp:coreProperties>
</file>