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82504" w14:textId="41E0BC48" w:rsidR="00156A0E" w:rsidRDefault="00156A0E" w:rsidP="00156A0E">
      <w:pPr>
        <w:jc w:val="center"/>
        <w:rPr>
          <w:rFonts w:ascii="Times New Roman" w:hAnsi="Times New Roman" w:cs="Times New Roman"/>
          <w:b/>
          <w:bCs/>
        </w:rPr>
      </w:pPr>
      <w:r>
        <w:rPr>
          <w:rFonts w:ascii="Times New Roman" w:hAnsi="Times New Roman" w:cs="Times New Roman"/>
          <w:b/>
          <w:bCs/>
        </w:rPr>
        <w:t>Task 4</w:t>
      </w:r>
    </w:p>
    <w:p w14:paraId="440E9B60" w14:textId="08B0CE54" w:rsidR="00156A0E" w:rsidRPr="00156A0E" w:rsidRDefault="00156A0E" w:rsidP="00156A0E">
      <w:pPr>
        <w:jc w:val="center"/>
        <w:rPr>
          <w:rFonts w:ascii="Times New Roman" w:hAnsi="Times New Roman" w:cs="Times New Roman"/>
          <w:b/>
          <w:bCs/>
        </w:rPr>
      </w:pPr>
      <w:r w:rsidRPr="00156A0E">
        <w:rPr>
          <w:rFonts w:ascii="Times New Roman" w:hAnsi="Times New Roman" w:cs="Times New Roman"/>
          <w:b/>
          <w:bCs/>
        </w:rPr>
        <w:t>PHARMACOVIGILANCE – CASE CLASSIFICATION SHEET</w:t>
      </w:r>
    </w:p>
    <w:p w14:paraId="5B156613" w14:textId="72FBC205" w:rsidR="00156A0E" w:rsidRPr="00156A0E" w:rsidRDefault="00156A0E" w:rsidP="00156A0E">
      <w:pPr>
        <w:rPr>
          <w:rFonts w:ascii="Times New Roman" w:hAnsi="Times New Roman" w:cs="Times New Roman"/>
        </w:rPr>
      </w:pPr>
    </w:p>
    <w:p w14:paraId="5EF9D02D" w14:textId="77777777" w:rsidR="00156A0E" w:rsidRPr="00156A0E" w:rsidRDefault="00156A0E" w:rsidP="00156A0E">
      <w:pPr>
        <w:rPr>
          <w:rFonts w:ascii="Times New Roman" w:hAnsi="Times New Roman" w:cs="Times New Roman"/>
          <w:b/>
          <w:bCs/>
        </w:rPr>
      </w:pPr>
      <w:r w:rsidRPr="00156A0E">
        <w:rPr>
          <w:rFonts w:ascii="Times New Roman" w:hAnsi="Times New Roman" w:cs="Times New Roman"/>
          <w:b/>
          <w:bCs/>
        </w:rPr>
        <w:t>1. INTRODUCTION TO CASE CLASSIFICATION</w:t>
      </w:r>
    </w:p>
    <w:p w14:paraId="30B4300E"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Case classification is an important part of Individual Case Safety Report (ICSR) processing in pharmacovigilance. When a safety report is received, the case needs to be reviewed and classified according to important safety and regulatory characteristics.</w:t>
      </w:r>
    </w:p>
    <w:p w14:paraId="0BA45D89"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The purpose of classification is to understand the nature of the report and determine how it should be processed, assessed, followed up, and reported. Classification may involve determining whether the report is valid, whether it is serious or non-serious, whether the event is expected or unexpected, whether the event is listed or unlisted, the source of the report, the type of report, causality, and whether special situations are involved.</w:t>
      </w:r>
    </w:p>
    <w:p w14:paraId="3BA4F915"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 xml:space="preserve">In simple terms, </w:t>
      </w:r>
      <w:r w:rsidRPr="00156A0E">
        <w:rPr>
          <w:rFonts w:ascii="Times New Roman" w:hAnsi="Times New Roman" w:cs="Times New Roman"/>
          <w:b/>
          <w:bCs/>
        </w:rPr>
        <w:t>case classification means identifying the important characteristics of a safety case before or during ICSR processing.</w:t>
      </w:r>
    </w:p>
    <w:p w14:paraId="42F469D4" w14:textId="7534505C" w:rsidR="00156A0E" w:rsidRPr="00156A0E" w:rsidRDefault="00156A0E" w:rsidP="00156A0E">
      <w:pPr>
        <w:rPr>
          <w:rFonts w:ascii="Times New Roman" w:hAnsi="Times New Roman" w:cs="Times New Roman"/>
        </w:rPr>
      </w:pPr>
    </w:p>
    <w:p w14:paraId="358CC3A1" w14:textId="77777777" w:rsidR="00156A0E" w:rsidRPr="00156A0E" w:rsidRDefault="00156A0E" w:rsidP="00156A0E">
      <w:pPr>
        <w:rPr>
          <w:rFonts w:ascii="Times New Roman" w:hAnsi="Times New Roman" w:cs="Times New Roman"/>
          <w:b/>
          <w:bCs/>
        </w:rPr>
      </w:pPr>
      <w:r w:rsidRPr="00156A0E">
        <w:rPr>
          <w:rFonts w:ascii="Times New Roman" w:hAnsi="Times New Roman" w:cs="Times New Roman"/>
          <w:b/>
          <w:bCs/>
        </w:rPr>
        <w:t>2. WHAT IS AN ICSR?</w:t>
      </w:r>
    </w:p>
    <w:p w14:paraId="7439DA9E"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An Individual Case Safety Report, commonly called an ICSR, is a report containing information about one or more suspected adverse events experienced by an individual patient following exposure to one or more medicinal products.</w:t>
      </w:r>
    </w:p>
    <w:p w14:paraId="6A84C526"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An ICSR may be received from a healthcare professional, patient, consumer, regulatory authority, clinical trial, literature source, market research program, patient support program, or another source.</w:t>
      </w:r>
    </w:p>
    <w:p w14:paraId="028C366C"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A typical safety case contains information about the patient, the suspected medicinal product, the adverse event, reporter information, treatment details, medical history, concomitant medications, laboratory information, and clinical outcome.</w:t>
      </w:r>
    </w:p>
    <w:p w14:paraId="58108B20" w14:textId="2B1C3BF1" w:rsidR="00156A0E" w:rsidRPr="00156A0E" w:rsidRDefault="00156A0E" w:rsidP="00156A0E">
      <w:pPr>
        <w:rPr>
          <w:rFonts w:ascii="Times New Roman" w:hAnsi="Times New Roman" w:cs="Times New Roman"/>
        </w:rPr>
      </w:pPr>
    </w:p>
    <w:p w14:paraId="0DB625D2" w14:textId="77777777" w:rsidR="00156A0E" w:rsidRPr="00156A0E" w:rsidRDefault="00156A0E" w:rsidP="00156A0E">
      <w:pPr>
        <w:rPr>
          <w:rFonts w:ascii="Times New Roman" w:hAnsi="Times New Roman" w:cs="Times New Roman"/>
          <w:b/>
          <w:bCs/>
        </w:rPr>
      </w:pPr>
      <w:r w:rsidRPr="00156A0E">
        <w:rPr>
          <w:rFonts w:ascii="Times New Roman" w:hAnsi="Times New Roman" w:cs="Times New Roman"/>
          <w:b/>
          <w:bCs/>
        </w:rPr>
        <w:t>3. MINIMUM CRITERIA FOR A VALID ICSR</w:t>
      </w:r>
    </w:p>
    <w:p w14:paraId="1FD58F94"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Before detailed case processing, it is important to determine whether the report contains the minimum information required for a valid ICSR.</w:t>
      </w:r>
    </w:p>
    <w:p w14:paraId="5EF1F3A2"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The four basic elements generally required are:</w:t>
      </w:r>
    </w:p>
    <w:p w14:paraId="031C8A03" w14:textId="77777777" w:rsidR="00156A0E" w:rsidRPr="00156A0E" w:rsidRDefault="00156A0E" w:rsidP="00156A0E">
      <w:pPr>
        <w:rPr>
          <w:rFonts w:ascii="Times New Roman" w:hAnsi="Times New Roman" w:cs="Times New Roman"/>
        </w:rPr>
      </w:pPr>
      <w:r w:rsidRPr="00156A0E">
        <w:rPr>
          <w:rFonts w:ascii="Times New Roman" w:hAnsi="Times New Roman" w:cs="Times New Roman"/>
          <w:b/>
          <w:bCs/>
        </w:rPr>
        <w:t>1. An identifiable patient</w:t>
      </w:r>
    </w:p>
    <w:p w14:paraId="78E747BD" w14:textId="77777777" w:rsidR="00156A0E" w:rsidRPr="00156A0E" w:rsidRDefault="00156A0E" w:rsidP="00156A0E">
      <w:pPr>
        <w:rPr>
          <w:rFonts w:ascii="Times New Roman" w:hAnsi="Times New Roman" w:cs="Times New Roman"/>
        </w:rPr>
      </w:pPr>
      <w:r w:rsidRPr="00156A0E">
        <w:rPr>
          <w:rFonts w:ascii="Times New Roman" w:hAnsi="Times New Roman" w:cs="Times New Roman"/>
          <w:b/>
          <w:bCs/>
        </w:rPr>
        <w:t>2. An identifiable reporter</w:t>
      </w:r>
    </w:p>
    <w:p w14:paraId="5BB815C5" w14:textId="77777777" w:rsidR="00156A0E" w:rsidRPr="00156A0E" w:rsidRDefault="00156A0E" w:rsidP="00156A0E">
      <w:pPr>
        <w:rPr>
          <w:rFonts w:ascii="Times New Roman" w:hAnsi="Times New Roman" w:cs="Times New Roman"/>
        </w:rPr>
      </w:pPr>
      <w:r w:rsidRPr="00156A0E">
        <w:rPr>
          <w:rFonts w:ascii="Times New Roman" w:hAnsi="Times New Roman" w:cs="Times New Roman"/>
          <w:b/>
          <w:bCs/>
        </w:rPr>
        <w:t>3. A suspected medicinal product</w:t>
      </w:r>
    </w:p>
    <w:p w14:paraId="40281DED" w14:textId="77777777" w:rsidR="00156A0E" w:rsidRPr="00156A0E" w:rsidRDefault="00156A0E" w:rsidP="00156A0E">
      <w:pPr>
        <w:rPr>
          <w:rFonts w:ascii="Times New Roman" w:hAnsi="Times New Roman" w:cs="Times New Roman"/>
        </w:rPr>
      </w:pPr>
      <w:r w:rsidRPr="00156A0E">
        <w:rPr>
          <w:rFonts w:ascii="Times New Roman" w:hAnsi="Times New Roman" w:cs="Times New Roman"/>
          <w:b/>
          <w:bCs/>
        </w:rPr>
        <w:t>4. A suspected adverse event/reaction</w:t>
      </w:r>
    </w:p>
    <w:p w14:paraId="5E10F47F"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If one or more of these essential elements are missing, the report may not qualify as a valid ICSR until the missing information is obtained.</w:t>
      </w:r>
    </w:p>
    <w:p w14:paraId="4B809F73"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For example, if a report states that “a patient developed nausea after taking Drug X,” but there is no identifiable patient and no identifiable reporter, the report may not meet the minimum criteria for a valid ICSR.</w:t>
      </w:r>
    </w:p>
    <w:p w14:paraId="2071ED86" w14:textId="63F4382E" w:rsidR="00156A0E" w:rsidRPr="00156A0E" w:rsidRDefault="00156A0E" w:rsidP="00156A0E">
      <w:pPr>
        <w:rPr>
          <w:rFonts w:ascii="Times New Roman" w:hAnsi="Times New Roman" w:cs="Times New Roman"/>
        </w:rPr>
      </w:pPr>
    </w:p>
    <w:p w14:paraId="4DB1F2FD" w14:textId="77777777" w:rsidR="00156A0E" w:rsidRPr="00156A0E" w:rsidRDefault="00156A0E" w:rsidP="00156A0E">
      <w:pPr>
        <w:rPr>
          <w:rFonts w:ascii="Times New Roman" w:hAnsi="Times New Roman" w:cs="Times New Roman"/>
          <w:b/>
          <w:bCs/>
        </w:rPr>
      </w:pPr>
      <w:r w:rsidRPr="00156A0E">
        <w:rPr>
          <w:rFonts w:ascii="Times New Roman" w:hAnsi="Times New Roman" w:cs="Times New Roman"/>
          <w:b/>
          <w:bCs/>
        </w:rPr>
        <w:t>4. IDENTIFIABLE PATIENT</w:t>
      </w:r>
    </w:p>
    <w:p w14:paraId="3EC3AE6D"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An identifiable patient means that there is sufficient information to distinguish the patient involved in the report.</w:t>
      </w:r>
    </w:p>
    <w:p w14:paraId="74074F41"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The patient may be identified through information such as initials, age, date of birth, sex, patient identification number, medical record number, or another appropriate identifier, depending on applicable procedures and privacy requirements.</w:t>
      </w:r>
    </w:p>
    <w:p w14:paraId="577871A4"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The patient's full name is generally not necessary for an ICSR and should not be unnecessarily collected or disclosed.</w:t>
      </w:r>
    </w:p>
    <w:p w14:paraId="42AC7253"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The important point for a PV professional is that the report must contain enough information to establish that an actual individual experienced the reported event.</w:t>
      </w:r>
    </w:p>
    <w:p w14:paraId="6CAABA82" w14:textId="24F19BD6" w:rsidR="00156A0E" w:rsidRPr="00156A0E" w:rsidRDefault="00156A0E" w:rsidP="00156A0E">
      <w:pPr>
        <w:rPr>
          <w:rFonts w:ascii="Times New Roman" w:hAnsi="Times New Roman" w:cs="Times New Roman"/>
        </w:rPr>
      </w:pPr>
    </w:p>
    <w:p w14:paraId="6CC1FDB1" w14:textId="77777777" w:rsidR="00156A0E" w:rsidRPr="00156A0E" w:rsidRDefault="00156A0E" w:rsidP="00156A0E">
      <w:pPr>
        <w:rPr>
          <w:rFonts w:ascii="Times New Roman" w:hAnsi="Times New Roman" w:cs="Times New Roman"/>
          <w:b/>
          <w:bCs/>
        </w:rPr>
      </w:pPr>
      <w:r w:rsidRPr="00156A0E">
        <w:rPr>
          <w:rFonts w:ascii="Times New Roman" w:hAnsi="Times New Roman" w:cs="Times New Roman"/>
          <w:b/>
          <w:bCs/>
        </w:rPr>
        <w:t>5. IDENTIFIABLE REPORTER</w:t>
      </w:r>
    </w:p>
    <w:p w14:paraId="692E61DD"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An identifiable reporter is a person who can be identified as the source of the safety information.</w:t>
      </w:r>
    </w:p>
    <w:p w14:paraId="336D5126"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The reporter may be a healthcare professional, such as a physician, pharmacist, nurse, or other qualified healthcare worker, or may be a patient or consumer depending on the reporting source.</w:t>
      </w:r>
    </w:p>
    <w:p w14:paraId="03CEEDEF"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Reporter information may include the reporter's name or initials, contact information, professional qualification, institution, or other information that allows the reporter to be identified.</w:t>
      </w:r>
    </w:p>
    <w:p w14:paraId="348A961C"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Reporter information is important because it allows the company to assess the reliability of the report and obtain follow-up information when necessary.</w:t>
      </w:r>
    </w:p>
    <w:p w14:paraId="43AD710F" w14:textId="352343ED" w:rsidR="00156A0E" w:rsidRPr="00156A0E" w:rsidRDefault="00156A0E" w:rsidP="00156A0E">
      <w:pPr>
        <w:rPr>
          <w:rFonts w:ascii="Times New Roman" w:hAnsi="Times New Roman" w:cs="Times New Roman"/>
        </w:rPr>
      </w:pPr>
    </w:p>
    <w:p w14:paraId="6FD731D3" w14:textId="77777777" w:rsidR="00156A0E" w:rsidRPr="00156A0E" w:rsidRDefault="00156A0E" w:rsidP="00156A0E">
      <w:pPr>
        <w:rPr>
          <w:rFonts w:ascii="Times New Roman" w:hAnsi="Times New Roman" w:cs="Times New Roman"/>
          <w:b/>
          <w:bCs/>
        </w:rPr>
      </w:pPr>
      <w:r w:rsidRPr="00156A0E">
        <w:rPr>
          <w:rFonts w:ascii="Times New Roman" w:hAnsi="Times New Roman" w:cs="Times New Roman"/>
          <w:b/>
          <w:bCs/>
        </w:rPr>
        <w:t>6. SUSPECTED MEDICINAL PRODUCT</w:t>
      </w:r>
    </w:p>
    <w:p w14:paraId="2D9F62A4"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The report should identify at least one medicinal product that is suspected to be associated with the adverse event.</w:t>
      </w:r>
    </w:p>
    <w:p w14:paraId="5697F223"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Important product information may include the product name, active ingredient, dose, route of administration, indication, frequency, start date, stop date, batch or lot number where relevant, and other available product information.</w:t>
      </w:r>
    </w:p>
    <w:p w14:paraId="1E310A46"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 xml:space="preserve">The product does not necessarily need to be proven to have caused the event. It is called a </w:t>
      </w:r>
      <w:r w:rsidRPr="00156A0E">
        <w:rPr>
          <w:rFonts w:ascii="Times New Roman" w:hAnsi="Times New Roman" w:cs="Times New Roman"/>
          <w:b/>
          <w:bCs/>
        </w:rPr>
        <w:t>suspected medicinal product</w:t>
      </w:r>
      <w:r w:rsidRPr="00156A0E">
        <w:rPr>
          <w:rFonts w:ascii="Times New Roman" w:hAnsi="Times New Roman" w:cs="Times New Roman"/>
        </w:rPr>
        <w:t xml:space="preserve"> because the report suggests a possible relationship.</w:t>
      </w:r>
    </w:p>
    <w:p w14:paraId="5A63E5F0" w14:textId="2557D215" w:rsidR="00156A0E" w:rsidRPr="00156A0E" w:rsidRDefault="00156A0E" w:rsidP="00156A0E">
      <w:pPr>
        <w:rPr>
          <w:rFonts w:ascii="Times New Roman" w:hAnsi="Times New Roman" w:cs="Times New Roman"/>
        </w:rPr>
      </w:pPr>
    </w:p>
    <w:p w14:paraId="4578FF1B" w14:textId="77777777" w:rsidR="00156A0E" w:rsidRPr="00156A0E" w:rsidRDefault="00156A0E" w:rsidP="00156A0E">
      <w:pPr>
        <w:rPr>
          <w:rFonts w:ascii="Times New Roman" w:hAnsi="Times New Roman" w:cs="Times New Roman"/>
          <w:b/>
          <w:bCs/>
        </w:rPr>
      </w:pPr>
      <w:r w:rsidRPr="00156A0E">
        <w:rPr>
          <w:rFonts w:ascii="Times New Roman" w:hAnsi="Times New Roman" w:cs="Times New Roman"/>
          <w:b/>
          <w:bCs/>
        </w:rPr>
        <w:t>7. SUSPECTED ADVERSE EVENT</w:t>
      </w:r>
    </w:p>
    <w:p w14:paraId="4DDF7D42"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The report must contain information about an adverse event or adverse reaction associated with the suspected medicinal product.</w:t>
      </w:r>
    </w:p>
    <w:p w14:paraId="11D52DA3"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The event could be a symptom, diagnosis, abnormal laboratory finding, or other clinically relevant occurrence.</w:t>
      </w:r>
    </w:p>
    <w:p w14:paraId="3A4485D4"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Examples include nausea, headache, rash, liver enzyme elevation, anaphylaxis, hospitalization, or death.</w:t>
      </w:r>
    </w:p>
    <w:p w14:paraId="71CEF805"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lastRenderedPageBreak/>
        <w:t xml:space="preserve">The event should subsequently be coded using an appropriate medical terminology such as </w:t>
      </w:r>
      <w:r w:rsidRPr="00156A0E">
        <w:rPr>
          <w:rFonts w:ascii="Times New Roman" w:hAnsi="Times New Roman" w:cs="Times New Roman"/>
          <w:b/>
          <w:bCs/>
        </w:rPr>
        <w:t>MedDRA (Medical Dictionary for Regulatory Activities)</w:t>
      </w:r>
      <w:r w:rsidRPr="00156A0E">
        <w:rPr>
          <w:rFonts w:ascii="Times New Roman" w:hAnsi="Times New Roman" w:cs="Times New Roman"/>
        </w:rPr>
        <w:t xml:space="preserve"> during case processing.</w:t>
      </w:r>
    </w:p>
    <w:p w14:paraId="2C0DC823" w14:textId="29470A03" w:rsidR="00156A0E" w:rsidRPr="00156A0E" w:rsidRDefault="00156A0E" w:rsidP="00156A0E">
      <w:pPr>
        <w:rPr>
          <w:rFonts w:ascii="Times New Roman" w:hAnsi="Times New Roman" w:cs="Times New Roman"/>
        </w:rPr>
      </w:pPr>
    </w:p>
    <w:p w14:paraId="27C3A4FB" w14:textId="77777777" w:rsidR="00156A0E" w:rsidRPr="00156A0E" w:rsidRDefault="00156A0E" w:rsidP="00156A0E">
      <w:pPr>
        <w:rPr>
          <w:rFonts w:ascii="Times New Roman" w:hAnsi="Times New Roman" w:cs="Times New Roman"/>
          <w:b/>
          <w:bCs/>
        </w:rPr>
      </w:pPr>
      <w:r w:rsidRPr="00156A0E">
        <w:rPr>
          <w:rFonts w:ascii="Times New Roman" w:hAnsi="Times New Roman" w:cs="Times New Roman"/>
          <w:b/>
          <w:bCs/>
        </w:rPr>
        <w:t>8. CASE CLASSIFICATION – IMPORTANT PARAMETERS</w:t>
      </w:r>
    </w:p>
    <w:p w14:paraId="179D08DA"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A case classification sheet can contain several classification parameters. The exact fields may vary depending on the company's SOP, safety database, product, reporting requirements, and regulatory environment.</w:t>
      </w:r>
    </w:p>
    <w:p w14:paraId="7E695A99"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Common classification parameters include:</w:t>
      </w:r>
    </w:p>
    <w:p w14:paraId="2AC5A3C2" w14:textId="77777777" w:rsidR="00156A0E" w:rsidRPr="00156A0E" w:rsidRDefault="00156A0E" w:rsidP="00156A0E">
      <w:pPr>
        <w:numPr>
          <w:ilvl w:val="0"/>
          <w:numId w:val="1"/>
        </w:numPr>
        <w:rPr>
          <w:rFonts w:ascii="Times New Roman" w:hAnsi="Times New Roman" w:cs="Times New Roman"/>
        </w:rPr>
      </w:pPr>
      <w:r w:rsidRPr="00156A0E">
        <w:rPr>
          <w:rFonts w:ascii="Times New Roman" w:hAnsi="Times New Roman" w:cs="Times New Roman"/>
        </w:rPr>
        <w:t>Case validity</w:t>
      </w:r>
    </w:p>
    <w:p w14:paraId="7B280CD5" w14:textId="77777777" w:rsidR="00156A0E" w:rsidRPr="00156A0E" w:rsidRDefault="00156A0E" w:rsidP="00156A0E">
      <w:pPr>
        <w:numPr>
          <w:ilvl w:val="0"/>
          <w:numId w:val="1"/>
        </w:numPr>
        <w:rPr>
          <w:rFonts w:ascii="Times New Roman" w:hAnsi="Times New Roman" w:cs="Times New Roman"/>
        </w:rPr>
      </w:pPr>
      <w:r w:rsidRPr="00156A0E">
        <w:rPr>
          <w:rFonts w:ascii="Times New Roman" w:hAnsi="Times New Roman" w:cs="Times New Roman"/>
        </w:rPr>
        <w:t>Initial or follow-up report</w:t>
      </w:r>
    </w:p>
    <w:p w14:paraId="4A8152E5" w14:textId="77777777" w:rsidR="00156A0E" w:rsidRPr="00156A0E" w:rsidRDefault="00156A0E" w:rsidP="00156A0E">
      <w:pPr>
        <w:numPr>
          <w:ilvl w:val="0"/>
          <w:numId w:val="1"/>
        </w:numPr>
        <w:rPr>
          <w:rFonts w:ascii="Times New Roman" w:hAnsi="Times New Roman" w:cs="Times New Roman"/>
        </w:rPr>
      </w:pPr>
      <w:r w:rsidRPr="00156A0E">
        <w:rPr>
          <w:rFonts w:ascii="Times New Roman" w:hAnsi="Times New Roman" w:cs="Times New Roman"/>
        </w:rPr>
        <w:t>Serious or non-serious</w:t>
      </w:r>
    </w:p>
    <w:p w14:paraId="5E55FD6C" w14:textId="77777777" w:rsidR="00156A0E" w:rsidRPr="00156A0E" w:rsidRDefault="00156A0E" w:rsidP="00156A0E">
      <w:pPr>
        <w:numPr>
          <w:ilvl w:val="0"/>
          <w:numId w:val="1"/>
        </w:numPr>
        <w:rPr>
          <w:rFonts w:ascii="Times New Roman" w:hAnsi="Times New Roman" w:cs="Times New Roman"/>
        </w:rPr>
      </w:pPr>
      <w:r w:rsidRPr="00156A0E">
        <w:rPr>
          <w:rFonts w:ascii="Times New Roman" w:hAnsi="Times New Roman" w:cs="Times New Roman"/>
        </w:rPr>
        <w:t>Expected or unexpected</w:t>
      </w:r>
    </w:p>
    <w:p w14:paraId="23E7F718" w14:textId="77777777" w:rsidR="00156A0E" w:rsidRPr="00156A0E" w:rsidRDefault="00156A0E" w:rsidP="00156A0E">
      <w:pPr>
        <w:numPr>
          <w:ilvl w:val="0"/>
          <w:numId w:val="1"/>
        </w:numPr>
        <w:rPr>
          <w:rFonts w:ascii="Times New Roman" w:hAnsi="Times New Roman" w:cs="Times New Roman"/>
        </w:rPr>
      </w:pPr>
      <w:r w:rsidRPr="00156A0E">
        <w:rPr>
          <w:rFonts w:ascii="Times New Roman" w:hAnsi="Times New Roman" w:cs="Times New Roman"/>
        </w:rPr>
        <w:t>Listed or unlisted</w:t>
      </w:r>
    </w:p>
    <w:p w14:paraId="14FF2BEA" w14:textId="77777777" w:rsidR="00156A0E" w:rsidRPr="00156A0E" w:rsidRDefault="00156A0E" w:rsidP="00156A0E">
      <w:pPr>
        <w:numPr>
          <w:ilvl w:val="0"/>
          <w:numId w:val="1"/>
        </w:numPr>
        <w:rPr>
          <w:rFonts w:ascii="Times New Roman" w:hAnsi="Times New Roman" w:cs="Times New Roman"/>
        </w:rPr>
      </w:pPr>
      <w:r w:rsidRPr="00156A0E">
        <w:rPr>
          <w:rFonts w:ascii="Times New Roman" w:hAnsi="Times New Roman" w:cs="Times New Roman"/>
        </w:rPr>
        <w:t>Causality</w:t>
      </w:r>
    </w:p>
    <w:p w14:paraId="1C445B78" w14:textId="77777777" w:rsidR="00156A0E" w:rsidRPr="00156A0E" w:rsidRDefault="00156A0E" w:rsidP="00156A0E">
      <w:pPr>
        <w:numPr>
          <w:ilvl w:val="0"/>
          <w:numId w:val="1"/>
        </w:numPr>
        <w:rPr>
          <w:rFonts w:ascii="Times New Roman" w:hAnsi="Times New Roman" w:cs="Times New Roman"/>
        </w:rPr>
      </w:pPr>
      <w:r w:rsidRPr="00156A0E">
        <w:rPr>
          <w:rFonts w:ascii="Times New Roman" w:hAnsi="Times New Roman" w:cs="Times New Roman"/>
        </w:rPr>
        <w:t>Report source</w:t>
      </w:r>
    </w:p>
    <w:p w14:paraId="0575CB8F" w14:textId="77777777" w:rsidR="00156A0E" w:rsidRPr="00156A0E" w:rsidRDefault="00156A0E" w:rsidP="00156A0E">
      <w:pPr>
        <w:numPr>
          <w:ilvl w:val="0"/>
          <w:numId w:val="1"/>
        </w:numPr>
        <w:rPr>
          <w:rFonts w:ascii="Times New Roman" w:hAnsi="Times New Roman" w:cs="Times New Roman"/>
        </w:rPr>
      </w:pPr>
      <w:r w:rsidRPr="00156A0E">
        <w:rPr>
          <w:rFonts w:ascii="Times New Roman" w:hAnsi="Times New Roman" w:cs="Times New Roman"/>
        </w:rPr>
        <w:t>Reporter qualification</w:t>
      </w:r>
    </w:p>
    <w:p w14:paraId="130EF2EF" w14:textId="77777777" w:rsidR="00156A0E" w:rsidRPr="00156A0E" w:rsidRDefault="00156A0E" w:rsidP="00156A0E">
      <w:pPr>
        <w:numPr>
          <w:ilvl w:val="0"/>
          <w:numId w:val="1"/>
        </w:numPr>
        <w:rPr>
          <w:rFonts w:ascii="Times New Roman" w:hAnsi="Times New Roman" w:cs="Times New Roman"/>
        </w:rPr>
      </w:pPr>
      <w:r w:rsidRPr="00156A0E">
        <w:rPr>
          <w:rFonts w:ascii="Times New Roman" w:hAnsi="Times New Roman" w:cs="Times New Roman"/>
        </w:rPr>
        <w:t>Spontaneous or solicited</w:t>
      </w:r>
    </w:p>
    <w:p w14:paraId="3F8A8754" w14:textId="77777777" w:rsidR="00156A0E" w:rsidRPr="00156A0E" w:rsidRDefault="00156A0E" w:rsidP="00156A0E">
      <w:pPr>
        <w:numPr>
          <w:ilvl w:val="0"/>
          <w:numId w:val="1"/>
        </w:numPr>
        <w:rPr>
          <w:rFonts w:ascii="Times New Roman" w:hAnsi="Times New Roman" w:cs="Times New Roman"/>
        </w:rPr>
      </w:pPr>
      <w:r w:rsidRPr="00156A0E">
        <w:rPr>
          <w:rFonts w:ascii="Times New Roman" w:hAnsi="Times New Roman" w:cs="Times New Roman"/>
        </w:rPr>
        <w:t>Clinical trial or post-marketing</w:t>
      </w:r>
    </w:p>
    <w:p w14:paraId="40766673" w14:textId="77777777" w:rsidR="00156A0E" w:rsidRPr="00156A0E" w:rsidRDefault="00156A0E" w:rsidP="00156A0E">
      <w:pPr>
        <w:numPr>
          <w:ilvl w:val="0"/>
          <w:numId w:val="1"/>
        </w:numPr>
        <w:rPr>
          <w:rFonts w:ascii="Times New Roman" w:hAnsi="Times New Roman" w:cs="Times New Roman"/>
        </w:rPr>
      </w:pPr>
      <w:r w:rsidRPr="00156A0E">
        <w:rPr>
          <w:rFonts w:ascii="Times New Roman" w:hAnsi="Times New Roman" w:cs="Times New Roman"/>
        </w:rPr>
        <w:t>Medically confirmed or non-medically confirmed</w:t>
      </w:r>
    </w:p>
    <w:p w14:paraId="194527D1" w14:textId="77777777" w:rsidR="00156A0E" w:rsidRPr="00156A0E" w:rsidRDefault="00156A0E" w:rsidP="00156A0E">
      <w:pPr>
        <w:numPr>
          <w:ilvl w:val="0"/>
          <w:numId w:val="1"/>
        </w:numPr>
        <w:rPr>
          <w:rFonts w:ascii="Times New Roman" w:hAnsi="Times New Roman" w:cs="Times New Roman"/>
        </w:rPr>
      </w:pPr>
      <w:r w:rsidRPr="00156A0E">
        <w:rPr>
          <w:rFonts w:ascii="Times New Roman" w:hAnsi="Times New Roman" w:cs="Times New Roman"/>
        </w:rPr>
        <w:t>Special situation</w:t>
      </w:r>
    </w:p>
    <w:p w14:paraId="0D152ED5" w14:textId="77777777" w:rsidR="00156A0E" w:rsidRPr="00156A0E" w:rsidRDefault="00156A0E" w:rsidP="00156A0E">
      <w:pPr>
        <w:numPr>
          <w:ilvl w:val="0"/>
          <w:numId w:val="1"/>
        </w:numPr>
        <w:rPr>
          <w:rFonts w:ascii="Times New Roman" w:hAnsi="Times New Roman" w:cs="Times New Roman"/>
        </w:rPr>
      </w:pPr>
      <w:r w:rsidRPr="00156A0E">
        <w:rPr>
          <w:rFonts w:ascii="Times New Roman" w:hAnsi="Times New Roman" w:cs="Times New Roman"/>
        </w:rPr>
        <w:t>Regulatory reportability</w:t>
      </w:r>
    </w:p>
    <w:p w14:paraId="00B253CF" w14:textId="77777777" w:rsidR="00156A0E" w:rsidRPr="00156A0E" w:rsidRDefault="00156A0E" w:rsidP="00156A0E">
      <w:pPr>
        <w:numPr>
          <w:ilvl w:val="0"/>
          <w:numId w:val="1"/>
        </w:numPr>
        <w:rPr>
          <w:rFonts w:ascii="Times New Roman" w:hAnsi="Times New Roman" w:cs="Times New Roman"/>
        </w:rPr>
      </w:pPr>
      <w:r w:rsidRPr="00156A0E">
        <w:rPr>
          <w:rFonts w:ascii="Times New Roman" w:hAnsi="Times New Roman" w:cs="Times New Roman"/>
        </w:rPr>
        <w:t>Product role, such as suspected, interacting, or concomitant</w:t>
      </w:r>
    </w:p>
    <w:p w14:paraId="5445E90A" w14:textId="0ABA5477" w:rsidR="00156A0E" w:rsidRPr="00156A0E" w:rsidRDefault="00156A0E" w:rsidP="00156A0E">
      <w:pPr>
        <w:rPr>
          <w:rFonts w:ascii="Times New Roman" w:hAnsi="Times New Roman" w:cs="Times New Roman"/>
        </w:rPr>
      </w:pPr>
    </w:p>
    <w:p w14:paraId="190A115C" w14:textId="77777777" w:rsidR="00156A0E" w:rsidRPr="00156A0E" w:rsidRDefault="00156A0E" w:rsidP="00156A0E">
      <w:pPr>
        <w:rPr>
          <w:rFonts w:ascii="Times New Roman" w:hAnsi="Times New Roman" w:cs="Times New Roman"/>
          <w:b/>
          <w:bCs/>
        </w:rPr>
      </w:pPr>
      <w:r w:rsidRPr="00156A0E">
        <w:rPr>
          <w:rFonts w:ascii="Times New Roman" w:hAnsi="Times New Roman" w:cs="Times New Roman"/>
          <w:b/>
          <w:bCs/>
        </w:rPr>
        <w:t>9. SERIOUS VS NON-SERIOUS</w:t>
      </w:r>
    </w:p>
    <w:p w14:paraId="3248A481"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 xml:space="preserve">One of the most important classifications in pharmacovigilance is determining whether an adverse event is </w:t>
      </w:r>
      <w:r w:rsidRPr="00156A0E">
        <w:rPr>
          <w:rFonts w:ascii="Times New Roman" w:hAnsi="Times New Roman" w:cs="Times New Roman"/>
          <w:b/>
          <w:bCs/>
        </w:rPr>
        <w:t>serious</w:t>
      </w:r>
      <w:r w:rsidRPr="00156A0E">
        <w:rPr>
          <w:rFonts w:ascii="Times New Roman" w:hAnsi="Times New Roman" w:cs="Times New Roman"/>
        </w:rPr>
        <w:t xml:space="preserve"> or </w:t>
      </w:r>
      <w:r w:rsidRPr="00156A0E">
        <w:rPr>
          <w:rFonts w:ascii="Times New Roman" w:hAnsi="Times New Roman" w:cs="Times New Roman"/>
          <w:b/>
          <w:bCs/>
        </w:rPr>
        <w:t>non-serious</w:t>
      </w:r>
      <w:r w:rsidRPr="00156A0E">
        <w:rPr>
          <w:rFonts w:ascii="Times New Roman" w:hAnsi="Times New Roman" w:cs="Times New Roman"/>
        </w:rPr>
        <w:t>.</w:t>
      </w:r>
    </w:p>
    <w:p w14:paraId="27DBB78A"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Seriousness is a regulatory concept and should not be confused with the intensity or severity of the event.</w:t>
      </w:r>
    </w:p>
    <w:p w14:paraId="331CF855"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An adverse event is generally considered serious if it results in an outcome such as:</w:t>
      </w:r>
    </w:p>
    <w:p w14:paraId="796FAE7D" w14:textId="77777777" w:rsidR="00156A0E" w:rsidRPr="00156A0E" w:rsidRDefault="00156A0E" w:rsidP="00156A0E">
      <w:pPr>
        <w:rPr>
          <w:rFonts w:ascii="Times New Roman" w:hAnsi="Times New Roman" w:cs="Times New Roman"/>
        </w:rPr>
      </w:pPr>
      <w:r w:rsidRPr="00156A0E">
        <w:rPr>
          <w:rFonts w:ascii="Times New Roman" w:hAnsi="Times New Roman" w:cs="Times New Roman"/>
          <w:b/>
          <w:bCs/>
        </w:rPr>
        <w:t>Death</w:t>
      </w:r>
    </w:p>
    <w:p w14:paraId="4C85FAE7" w14:textId="77777777" w:rsidR="00156A0E" w:rsidRPr="00156A0E" w:rsidRDefault="00156A0E" w:rsidP="00156A0E">
      <w:pPr>
        <w:rPr>
          <w:rFonts w:ascii="Times New Roman" w:hAnsi="Times New Roman" w:cs="Times New Roman"/>
        </w:rPr>
      </w:pPr>
      <w:r w:rsidRPr="00156A0E">
        <w:rPr>
          <w:rFonts w:ascii="Times New Roman" w:hAnsi="Times New Roman" w:cs="Times New Roman"/>
          <w:b/>
          <w:bCs/>
        </w:rPr>
        <w:t>Life-threatening condition</w:t>
      </w:r>
    </w:p>
    <w:p w14:paraId="4AF755BF" w14:textId="77777777" w:rsidR="00156A0E" w:rsidRPr="00156A0E" w:rsidRDefault="00156A0E" w:rsidP="00156A0E">
      <w:pPr>
        <w:rPr>
          <w:rFonts w:ascii="Times New Roman" w:hAnsi="Times New Roman" w:cs="Times New Roman"/>
        </w:rPr>
      </w:pPr>
      <w:r w:rsidRPr="00156A0E">
        <w:rPr>
          <w:rFonts w:ascii="Times New Roman" w:hAnsi="Times New Roman" w:cs="Times New Roman"/>
          <w:b/>
          <w:bCs/>
        </w:rPr>
        <w:t>Hospitalization or prolongation of existing hospitalization</w:t>
      </w:r>
    </w:p>
    <w:p w14:paraId="0DA15476" w14:textId="77777777" w:rsidR="00156A0E" w:rsidRPr="00156A0E" w:rsidRDefault="00156A0E" w:rsidP="00156A0E">
      <w:pPr>
        <w:rPr>
          <w:rFonts w:ascii="Times New Roman" w:hAnsi="Times New Roman" w:cs="Times New Roman"/>
        </w:rPr>
      </w:pPr>
      <w:r w:rsidRPr="00156A0E">
        <w:rPr>
          <w:rFonts w:ascii="Times New Roman" w:hAnsi="Times New Roman" w:cs="Times New Roman"/>
          <w:b/>
          <w:bCs/>
        </w:rPr>
        <w:t>Persistent or significant disability/incapacity</w:t>
      </w:r>
    </w:p>
    <w:p w14:paraId="0131DEB4" w14:textId="77777777" w:rsidR="00156A0E" w:rsidRPr="00156A0E" w:rsidRDefault="00156A0E" w:rsidP="00156A0E">
      <w:pPr>
        <w:rPr>
          <w:rFonts w:ascii="Times New Roman" w:hAnsi="Times New Roman" w:cs="Times New Roman"/>
        </w:rPr>
      </w:pPr>
      <w:r w:rsidRPr="00156A0E">
        <w:rPr>
          <w:rFonts w:ascii="Times New Roman" w:hAnsi="Times New Roman" w:cs="Times New Roman"/>
          <w:b/>
          <w:bCs/>
        </w:rPr>
        <w:t>Congenital anomaly/birth defect</w:t>
      </w:r>
    </w:p>
    <w:p w14:paraId="71395CD4" w14:textId="77777777" w:rsidR="00156A0E" w:rsidRPr="00156A0E" w:rsidRDefault="00156A0E" w:rsidP="00156A0E">
      <w:pPr>
        <w:rPr>
          <w:rFonts w:ascii="Times New Roman" w:hAnsi="Times New Roman" w:cs="Times New Roman"/>
        </w:rPr>
      </w:pPr>
      <w:r w:rsidRPr="00156A0E">
        <w:rPr>
          <w:rFonts w:ascii="Times New Roman" w:hAnsi="Times New Roman" w:cs="Times New Roman"/>
          <w:b/>
          <w:bCs/>
        </w:rPr>
        <w:lastRenderedPageBreak/>
        <w:t>Other medically important condition</w:t>
      </w:r>
    </w:p>
    <w:p w14:paraId="40AB2F1F"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The classification should be based on the applicable regulatory definition and the information available in the case.</w:t>
      </w:r>
    </w:p>
    <w:p w14:paraId="023B9241" w14:textId="7D965150" w:rsidR="00156A0E" w:rsidRPr="00156A0E" w:rsidRDefault="00156A0E" w:rsidP="00156A0E">
      <w:pPr>
        <w:rPr>
          <w:rFonts w:ascii="Times New Roman" w:hAnsi="Times New Roman" w:cs="Times New Roman"/>
        </w:rPr>
      </w:pPr>
    </w:p>
    <w:p w14:paraId="426680DC" w14:textId="77777777" w:rsidR="00156A0E" w:rsidRPr="00156A0E" w:rsidRDefault="00156A0E" w:rsidP="00156A0E">
      <w:pPr>
        <w:rPr>
          <w:rFonts w:ascii="Times New Roman" w:hAnsi="Times New Roman" w:cs="Times New Roman"/>
          <w:b/>
          <w:bCs/>
        </w:rPr>
      </w:pPr>
      <w:r w:rsidRPr="00156A0E">
        <w:rPr>
          <w:rFonts w:ascii="Times New Roman" w:hAnsi="Times New Roman" w:cs="Times New Roman"/>
          <w:b/>
          <w:bCs/>
        </w:rPr>
        <w:t>10. SERIOUSNESS DOES NOT MEAN SEVERITY</w:t>
      </w:r>
    </w:p>
    <w:p w14:paraId="716A4912"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Severity describes the intensity of an event, such as mild, moderate, or severe.</w:t>
      </w:r>
    </w:p>
    <w:p w14:paraId="15821D85"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Seriousness, on the other hand, is based on specific regulatory criteria.</w:t>
      </w:r>
    </w:p>
    <w:p w14:paraId="3BB33309"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For example, a severe headache may be very intense but may not meet a seriousness criterion. On the other hand, a relatively mild event that results in hospitalization may be classified as serious.</w:t>
      </w:r>
    </w:p>
    <w:p w14:paraId="64B9B131"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Therefore, remember:</w:t>
      </w:r>
    </w:p>
    <w:p w14:paraId="42CF853C" w14:textId="77777777" w:rsidR="00156A0E" w:rsidRPr="00156A0E" w:rsidRDefault="00156A0E" w:rsidP="00156A0E">
      <w:pPr>
        <w:rPr>
          <w:rFonts w:ascii="Times New Roman" w:hAnsi="Times New Roman" w:cs="Times New Roman"/>
        </w:rPr>
      </w:pPr>
      <w:r w:rsidRPr="00156A0E">
        <w:rPr>
          <w:rFonts w:ascii="Times New Roman" w:hAnsi="Times New Roman" w:cs="Times New Roman"/>
          <w:b/>
          <w:bCs/>
        </w:rPr>
        <w:t>Severity = How intense is the event?</w:t>
      </w:r>
    </w:p>
    <w:p w14:paraId="2E371FDF" w14:textId="77777777" w:rsidR="00156A0E" w:rsidRPr="00156A0E" w:rsidRDefault="00156A0E" w:rsidP="00156A0E">
      <w:pPr>
        <w:rPr>
          <w:rFonts w:ascii="Times New Roman" w:hAnsi="Times New Roman" w:cs="Times New Roman"/>
        </w:rPr>
      </w:pPr>
      <w:r w:rsidRPr="00156A0E">
        <w:rPr>
          <w:rFonts w:ascii="Times New Roman" w:hAnsi="Times New Roman" w:cs="Times New Roman"/>
          <w:b/>
          <w:bCs/>
        </w:rPr>
        <w:t>Seriousness = Does the event meet a regulatory seriousness criterion?</w:t>
      </w:r>
    </w:p>
    <w:p w14:paraId="13CE7605"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This is a very common pharmacovigilance interview question.</w:t>
      </w:r>
    </w:p>
    <w:p w14:paraId="729266A5" w14:textId="5ED07145" w:rsidR="00156A0E" w:rsidRPr="00156A0E" w:rsidRDefault="00156A0E" w:rsidP="00156A0E">
      <w:pPr>
        <w:rPr>
          <w:rFonts w:ascii="Times New Roman" w:hAnsi="Times New Roman" w:cs="Times New Roman"/>
        </w:rPr>
      </w:pPr>
    </w:p>
    <w:p w14:paraId="7578B70F" w14:textId="77777777" w:rsidR="00156A0E" w:rsidRPr="00156A0E" w:rsidRDefault="00156A0E" w:rsidP="00156A0E">
      <w:pPr>
        <w:rPr>
          <w:rFonts w:ascii="Times New Roman" w:hAnsi="Times New Roman" w:cs="Times New Roman"/>
          <w:b/>
          <w:bCs/>
        </w:rPr>
      </w:pPr>
      <w:r w:rsidRPr="00156A0E">
        <w:rPr>
          <w:rFonts w:ascii="Times New Roman" w:hAnsi="Times New Roman" w:cs="Times New Roman"/>
          <w:b/>
          <w:bCs/>
        </w:rPr>
        <w:t>11. EXPECTED VS UNEXPECTED</w:t>
      </w:r>
    </w:p>
    <w:p w14:paraId="3313A2AD"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Expectedness refers to whether the adverse event is consistent with the applicable product safety information.</w:t>
      </w:r>
    </w:p>
    <w:p w14:paraId="135493CD"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If the nature, severity, specificity, or outcome of the event is consistent with the relevant reference safety information, it may be considered expected/listed according to the applicable framework.</w:t>
      </w:r>
    </w:p>
    <w:p w14:paraId="2EB6E7DB"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An unexpected event is one whose nature or severity is not consistent with the applicable reference safety information.</w:t>
      </w:r>
    </w:p>
    <w:p w14:paraId="39E981DE"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The exact reference document used for determining expectedness depends on the reporting context and applicable regulatory requirements. Therefore, a PV professional should always follow the company's SOP and the appropriate reference safety information.</w:t>
      </w:r>
    </w:p>
    <w:p w14:paraId="4E27FC29" w14:textId="01E239CF" w:rsidR="00156A0E" w:rsidRPr="00156A0E" w:rsidRDefault="00156A0E" w:rsidP="00156A0E">
      <w:pPr>
        <w:rPr>
          <w:rFonts w:ascii="Times New Roman" w:hAnsi="Times New Roman" w:cs="Times New Roman"/>
        </w:rPr>
      </w:pPr>
    </w:p>
    <w:p w14:paraId="6F019AEA" w14:textId="77777777" w:rsidR="00156A0E" w:rsidRPr="00156A0E" w:rsidRDefault="00156A0E" w:rsidP="00156A0E">
      <w:pPr>
        <w:rPr>
          <w:rFonts w:ascii="Times New Roman" w:hAnsi="Times New Roman" w:cs="Times New Roman"/>
          <w:b/>
          <w:bCs/>
        </w:rPr>
      </w:pPr>
      <w:r w:rsidRPr="00156A0E">
        <w:rPr>
          <w:rFonts w:ascii="Times New Roman" w:hAnsi="Times New Roman" w:cs="Times New Roman"/>
          <w:b/>
          <w:bCs/>
        </w:rPr>
        <w:t>12. LISTED VS UNLISTED</w:t>
      </w:r>
    </w:p>
    <w:p w14:paraId="2BA10409"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 xml:space="preserve">The terms </w:t>
      </w:r>
      <w:r w:rsidRPr="00156A0E">
        <w:rPr>
          <w:rFonts w:ascii="Times New Roman" w:hAnsi="Times New Roman" w:cs="Times New Roman"/>
          <w:b/>
          <w:bCs/>
        </w:rPr>
        <w:t>listed</w:t>
      </w:r>
      <w:r w:rsidRPr="00156A0E">
        <w:rPr>
          <w:rFonts w:ascii="Times New Roman" w:hAnsi="Times New Roman" w:cs="Times New Roman"/>
        </w:rPr>
        <w:t xml:space="preserve"> and </w:t>
      </w:r>
      <w:r w:rsidRPr="00156A0E">
        <w:rPr>
          <w:rFonts w:ascii="Times New Roman" w:hAnsi="Times New Roman" w:cs="Times New Roman"/>
          <w:b/>
          <w:bCs/>
        </w:rPr>
        <w:t>unlisted</w:t>
      </w:r>
      <w:r w:rsidRPr="00156A0E">
        <w:rPr>
          <w:rFonts w:ascii="Times New Roman" w:hAnsi="Times New Roman" w:cs="Times New Roman"/>
        </w:rPr>
        <w:t xml:space="preserve"> are often used when evaluating whether an adverse reaction is already described in the relevant product safety information.</w:t>
      </w:r>
    </w:p>
    <w:p w14:paraId="5B249F04"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A listed event is one that is already described in the applicable reference safety information.</w:t>
      </w:r>
    </w:p>
    <w:p w14:paraId="26F53CD0"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An unlisted event is one that is not adequately described in that reference information.</w:t>
      </w:r>
    </w:p>
    <w:p w14:paraId="292AC1AB"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The exact terminology and reference document can differ between clinical trial and post-marketing settings. Therefore, classification should always be performed against the correct current reference document.</w:t>
      </w:r>
    </w:p>
    <w:p w14:paraId="6854893F" w14:textId="78B2E403" w:rsidR="00156A0E" w:rsidRPr="00156A0E" w:rsidRDefault="00156A0E" w:rsidP="00156A0E">
      <w:pPr>
        <w:rPr>
          <w:rFonts w:ascii="Times New Roman" w:hAnsi="Times New Roman" w:cs="Times New Roman"/>
        </w:rPr>
      </w:pPr>
    </w:p>
    <w:p w14:paraId="0E2224B6" w14:textId="77777777" w:rsidR="00156A0E" w:rsidRPr="00156A0E" w:rsidRDefault="00156A0E" w:rsidP="00156A0E">
      <w:pPr>
        <w:rPr>
          <w:rFonts w:ascii="Times New Roman" w:hAnsi="Times New Roman" w:cs="Times New Roman"/>
          <w:b/>
          <w:bCs/>
        </w:rPr>
      </w:pPr>
      <w:r w:rsidRPr="00156A0E">
        <w:rPr>
          <w:rFonts w:ascii="Times New Roman" w:hAnsi="Times New Roman" w:cs="Times New Roman"/>
          <w:b/>
          <w:bCs/>
        </w:rPr>
        <w:t>13. CAUSALITY ASSESSMENT</w:t>
      </w:r>
    </w:p>
    <w:p w14:paraId="4EE70008"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lastRenderedPageBreak/>
        <w:t>Causality assessment evaluates the relationship between the suspected medicinal product and the reported adverse event.</w:t>
      </w:r>
    </w:p>
    <w:p w14:paraId="0EF9094D"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 xml:space="preserve">The assessor considers factors such as temporal relationship, </w:t>
      </w:r>
      <w:proofErr w:type="spellStart"/>
      <w:r w:rsidRPr="00156A0E">
        <w:rPr>
          <w:rFonts w:ascii="Times New Roman" w:hAnsi="Times New Roman" w:cs="Times New Roman"/>
        </w:rPr>
        <w:t>dechallenge</w:t>
      </w:r>
      <w:proofErr w:type="spellEnd"/>
      <w:r w:rsidRPr="00156A0E">
        <w:rPr>
          <w:rFonts w:ascii="Times New Roman" w:hAnsi="Times New Roman" w:cs="Times New Roman"/>
        </w:rPr>
        <w:t>, rechallenge, alternative causes, previous knowledge, biological plausibility, and dose-response relationship.</w:t>
      </w:r>
    </w:p>
    <w:p w14:paraId="02E69303"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Common approaches include the WHO-UMC system and Naranjo algorithm.</w:t>
      </w:r>
    </w:p>
    <w:p w14:paraId="62A28ADE"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For example, if a patient develops a rash after starting a medicine, the medicine is stopped and the rash resolves, with no convincing alternative explanation, the relationship may be considered Probable/Likely depending on the complete clinical information.</w:t>
      </w:r>
    </w:p>
    <w:p w14:paraId="10B64A02" w14:textId="3E9BC3CA" w:rsidR="00156A0E" w:rsidRPr="00156A0E" w:rsidRDefault="00156A0E" w:rsidP="00156A0E">
      <w:pPr>
        <w:rPr>
          <w:rFonts w:ascii="Times New Roman" w:hAnsi="Times New Roman" w:cs="Times New Roman"/>
        </w:rPr>
      </w:pPr>
    </w:p>
    <w:p w14:paraId="3C41F3A9" w14:textId="77777777" w:rsidR="00156A0E" w:rsidRPr="00156A0E" w:rsidRDefault="00156A0E" w:rsidP="00156A0E">
      <w:pPr>
        <w:rPr>
          <w:rFonts w:ascii="Times New Roman" w:hAnsi="Times New Roman" w:cs="Times New Roman"/>
          <w:b/>
          <w:bCs/>
        </w:rPr>
      </w:pPr>
      <w:r w:rsidRPr="00156A0E">
        <w:rPr>
          <w:rFonts w:ascii="Times New Roman" w:hAnsi="Times New Roman" w:cs="Times New Roman"/>
          <w:b/>
          <w:bCs/>
        </w:rPr>
        <w:t>14. REPORTER CAUSALITY VS COMPANY CAUSALITY</w:t>
      </w:r>
    </w:p>
    <w:p w14:paraId="492D786E"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 xml:space="preserve">In some safety reports, the reporter may provide their own opinion about whether the medicinal product caused the event. This is called </w:t>
      </w:r>
      <w:r w:rsidRPr="00156A0E">
        <w:rPr>
          <w:rFonts w:ascii="Times New Roman" w:hAnsi="Times New Roman" w:cs="Times New Roman"/>
          <w:b/>
          <w:bCs/>
        </w:rPr>
        <w:t>reporter causality</w:t>
      </w:r>
      <w:r w:rsidRPr="00156A0E">
        <w:rPr>
          <w:rFonts w:ascii="Times New Roman" w:hAnsi="Times New Roman" w:cs="Times New Roman"/>
        </w:rPr>
        <w:t>.</w:t>
      </w:r>
    </w:p>
    <w:p w14:paraId="7071EC39"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 xml:space="preserve">The pharmaceutical company may separately perform its own causality assessment based on the information available in the case. This is commonly referred to as </w:t>
      </w:r>
      <w:r w:rsidRPr="00156A0E">
        <w:rPr>
          <w:rFonts w:ascii="Times New Roman" w:hAnsi="Times New Roman" w:cs="Times New Roman"/>
          <w:b/>
          <w:bCs/>
        </w:rPr>
        <w:t>company causality</w:t>
      </w:r>
      <w:r w:rsidRPr="00156A0E">
        <w:rPr>
          <w:rFonts w:ascii="Times New Roman" w:hAnsi="Times New Roman" w:cs="Times New Roman"/>
        </w:rPr>
        <w:t>.</w:t>
      </w:r>
    </w:p>
    <w:p w14:paraId="5D8045DC"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The reporter's assessment should not simply be copied without evaluation. The company must assess the case according to its procedures and applicable requirements.</w:t>
      </w:r>
    </w:p>
    <w:p w14:paraId="1D04EC34"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For example, a physician may state that Drug X is unlikely to have caused the event, while the company may determine that the relationship is Possible based on the complete case information.</w:t>
      </w:r>
    </w:p>
    <w:p w14:paraId="60E65437" w14:textId="675B8F77" w:rsidR="00156A0E" w:rsidRPr="00156A0E" w:rsidRDefault="00156A0E" w:rsidP="00156A0E">
      <w:pPr>
        <w:rPr>
          <w:rFonts w:ascii="Times New Roman" w:hAnsi="Times New Roman" w:cs="Times New Roman"/>
        </w:rPr>
      </w:pPr>
    </w:p>
    <w:p w14:paraId="7F39AD33" w14:textId="77777777" w:rsidR="00156A0E" w:rsidRPr="00156A0E" w:rsidRDefault="00156A0E" w:rsidP="00156A0E">
      <w:pPr>
        <w:rPr>
          <w:rFonts w:ascii="Times New Roman" w:hAnsi="Times New Roman" w:cs="Times New Roman"/>
          <w:b/>
          <w:bCs/>
        </w:rPr>
      </w:pPr>
      <w:r w:rsidRPr="00156A0E">
        <w:rPr>
          <w:rFonts w:ascii="Times New Roman" w:hAnsi="Times New Roman" w:cs="Times New Roman"/>
          <w:b/>
          <w:bCs/>
        </w:rPr>
        <w:t>15. SOURCE OF THE REPORT</w:t>
      </w:r>
    </w:p>
    <w:p w14:paraId="62B67AF5"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The source of a safety report refers to where the information originated.</w:t>
      </w:r>
    </w:p>
    <w:p w14:paraId="0D97E58B"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Common sources include:</w:t>
      </w:r>
    </w:p>
    <w:p w14:paraId="174DC57D" w14:textId="77777777" w:rsidR="00156A0E" w:rsidRPr="00156A0E" w:rsidRDefault="00156A0E" w:rsidP="00156A0E">
      <w:pPr>
        <w:rPr>
          <w:rFonts w:ascii="Times New Roman" w:hAnsi="Times New Roman" w:cs="Times New Roman"/>
        </w:rPr>
      </w:pPr>
      <w:r w:rsidRPr="00156A0E">
        <w:rPr>
          <w:rFonts w:ascii="Times New Roman" w:hAnsi="Times New Roman" w:cs="Times New Roman"/>
          <w:b/>
          <w:bCs/>
        </w:rPr>
        <w:t>Healthcare professional</w:t>
      </w:r>
    </w:p>
    <w:p w14:paraId="1D9E0489" w14:textId="77777777" w:rsidR="00156A0E" w:rsidRPr="00156A0E" w:rsidRDefault="00156A0E" w:rsidP="00156A0E">
      <w:pPr>
        <w:rPr>
          <w:rFonts w:ascii="Times New Roman" w:hAnsi="Times New Roman" w:cs="Times New Roman"/>
        </w:rPr>
      </w:pPr>
      <w:r w:rsidRPr="00156A0E">
        <w:rPr>
          <w:rFonts w:ascii="Times New Roman" w:hAnsi="Times New Roman" w:cs="Times New Roman"/>
          <w:b/>
          <w:bCs/>
        </w:rPr>
        <w:t>Consumer/patient</w:t>
      </w:r>
    </w:p>
    <w:p w14:paraId="5220B11E" w14:textId="77777777" w:rsidR="00156A0E" w:rsidRPr="00156A0E" w:rsidRDefault="00156A0E" w:rsidP="00156A0E">
      <w:pPr>
        <w:rPr>
          <w:rFonts w:ascii="Times New Roman" w:hAnsi="Times New Roman" w:cs="Times New Roman"/>
        </w:rPr>
      </w:pPr>
      <w:r w:rsidRPr="00156A0E">
        <w:rPr>
          <w:rFonts w:ascii="Times New Roman" w:hAnsi="Times New Roman" w:cs="Times New Roman"/>
          <w:b/>
          <w:bCs/>
        </w:rPr>
        <w:t>Regulatory authority</w:t>
      </w:r>
    </w:p>
    <w:p w14:paraId="4B37B253" w14:textId="77777777" w:rsidR="00156A0E" w:rsidRPr="00156A0E" w:rsidRDefault="00156A0E" w:rsidP="00156A0E">
      <w:pPr>
        <w:rPr>
          <w:rFonts w:ascii="Times New Roman" w:hAnsi="Times New Roman" w:cs="Times New Roman"/>
        </w:rPr>
      </w:pPr>
      <w:r w:rsidRPr="00156A0E">
        <w:rPr>
          <w:rFonts w:ascii="Times New Roman" w:hAnsi="Times New Roman" w:cs="Times New Roman"/>
          <w:b/>
          <w:bCs/>
        </w:rPr>
        <w:t>Literature</w:t>
      </w:r>
    </w:p>
    <w:p w14:paraId="32C0FF9B" w14:textId="77777777" w:rsidR="00156A0E" w:rsidRPr="00156A0E" w:rsidRDefault="00156A0E" w:rsidP="00156A0E">
      <w:pPr>
        <w:rPr>
          <w:rFonts w:ascii="Times New Roman" w:hAnsi="Times New Roman" w:cs="Times New Roman"/>
        </w:rPr>
      </w:pPr>
      <w:r w:rsidRPr="00156A0E">
        <w:rPr>
          <w:rFonts w:ascii="Times New Roman" w:hAnsi="Times New Roman" w:cs="Times New Roman"/>
          <w:b/>
          <w:bCs/>
        </w:rPr>
        <w:t>Clinical trial</w:t>
      </w:r>
    </w:p>
    <w:p w14:paraId="311AB4E7" w14:textId="77777777" w:rsidR="00156A0E" w:rsidRPr="00156A0E" w:rsidRDefault="00156A0E" w:rsidP="00156A0E">
      <w:pPr>
        <w:rPr>
          <w:rFonts w:ascii="Times New Roman" w:hAnsi="Times New Roman" w:cs="Times New Roman"/>
        </w:rPr>
      </w:pPr>
      <w:r w:rsidRPr="00156A0E">
        <w:rPr>
          <w:rFonts w:ascii="Times New Roman" w:hAnsi="Times New Roman" w:cs="Times New Roman"/>
          <w:b/>
          <w:bCs/>
        </w:rPr>
        <w:t>Patient support program</w:t>
      </w:r>
    </w:p>
    <w:p w14:paraId="689AC25B" w14:textId="77777777" w:rsidR="00156A0E" w:rsidRPr="00156A0E" w:rsidRDefault="00156A0E" w:rsidP="00156A0E">
      <w:pPr>
        <w:rPr>
          <w:rFonts w:ascii="Times New Roman" w:hAnsi="Times New Roman" w:cs="Times New Roman"/>
        </w:rPr>
      </w:pPr>
      <w:r w:rsidRPr="00156A0E">
        <w:rPr>
          <w:rFonts w:ascii="Times New Roman" w:hAnsi="Times New Roman" w:cs="Times New Roman"/>
          <w:b/>
          <w:bCs/>
        </w:rPr>
        <w:t>Market research or other organized data collection programs</w:t>
      </w:r>
    </w:p>
    <w:p w14:paraId="141EFEFE" w14:textId="77777777" w:rsidR="00156A0E" w:rsidRPr="00156A0E" w:rsidRDefault="00156A0E" w:rsidP="00156A0E">
      <w:pPr>
        <w:rPr>
          <w:rFonts w:ascii="Times New Roman" w:hAnsi="Times New Roman" w:cs="Times New Roman"/>
        </w:rPr>
      </w:pPr>
      <w:r w:rsidRPr="00156A0E">
        <w:rPr>
          <w:rFonts w:ascii="Times New Roman" w:hAnsi="Times New Roman" w:cs="Times New Roman"/>
          <w:b/>
          <w:bCs/>
        </w:rPr>
        <w:t>Company employee</w:t>
      </w:r>
    </w:p>
    <w:p w14:paraId="04291943"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Identifying the source is important because the processing requirements and follow-up expectations may differ depending on the source.</w:t>
      </w:r>
    </w:p>
    <w:p w14:paraId="37BAE1A7" w14:textId="44540BF5" w:rsidR="00156A0E" w:rsidRPr="00156A0E" w:rsidRDefault="00156A0E" w:rsidP="00156A0E">
      <w:pPr>
        <w:rPr>
          <w:rFonts w:ascii="Times New Roman" w:hAnsi="Times New Roman" w:cs="Times New Roman"/>
        </w:rPr>
      </w:pPr>
    </w:p>
    <w:p w14:paraId="176F93FE" w14:textId="77777777" w:rsidR="00156A0E" w:rsidRPr="00156A0E" w:rsidRDefault="00156A0E" w:rsidP="00156A0E">
      <w:pPr>
        <w:rPr>
          <w:rFonts w:ascii="Times New Roman" w:hAnsi="Times New Roman" w:cs="Times New Roman"/>
          <w:b/>
          <w:bCs/>
        </w:rPr>
      </w:pPr>
      <w:r w:rsidRPr="00156A0E">
        <w:rPr>
          <w:rFonts w:ascii="Times New Roman" w:hAnsi="Times New Roman" w:cs="Times New Roman"/>
          <w:b/>
          <w:bCs/>
        </w:rPr>
        <w:t>16. HEALTHCARE PROFESSIONAL REPORT</w:t>
      </w:r>
    </w:p>
    <w:p w14:paraId="2E8D4653"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A healthcare professional report is received from a qualified healthcare professional, such as a physician, pharmacist, nurse, or other relevant professional.</w:t>
      </w:r>
    </w:p>
    <w:p w14:paraId="7CCFA9D4"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lastRenderedPageBreak/>
        <w:t>Healthcare professional reports may contain detailed clinical information such as diagnosis, laboratory results, treatment, medical history, and clinical outcome.</w:t>
      </w:r>
    </w:p>
    <w:p w14:paraId="45B31563"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The reporter's qualification should be captured accurately because it can be relevant to the classification of the case and the assessment of the medical information.</w:t>
      </w:r>
    </w:p>
    <w:p w14:paraId="02485C0C" w14:textId="06CEBDCD" w:rsidR="00156A0E" w:rsidRPr="00156A0E" w:rsidRDefault="00156A0E" w:rsidP="00156A0E">
      <w:pPr>
        <w:rPr>
          <w:rFonts w:ascii="Times New Roman" w:hAnsi="Times New Roman" w:cs="Times New Roman"/>
        </w:rPr>
      </w:pPr>
    </w:p>
    <w:p w14:paraId="2CFFED1C" w14:textId="77777777" w:rsidR="00156A0E" w:rsidRPr="00156A0E" w:rsidRDefault="00156A0E" w:rsidP="00156A0E">
      <w:pPr>
        <w:rPr>
          <w:rFonts w:ascii="Times New Roman" w:hAnsi="Times New Roman" w:cs="Times New Roman"/>
          <w:b/>
          <w:bCs/>
        </w:rPr>
      </w:pPr>
      <w:r w:rsidRPr="00156A0E">
        <w:rPr>
          <w:rFonts w:ascii="Times New Roman" w:hAnsi="Times New Roman" w:cs="Times New Roman"/>
          <w:b/>
          <w:bCs/>
        </w:rPr>
        <w:t>17. CONSUMER REPORT</w:t>
      </w:r>
    </w:p>
    <w:p w14:paraId="71382037"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A consumer or patient report is received directly from a patient or non-healthcare professional.</w:t>
      </w:r>
    </w:p>
    <w:p w14:paraId="1138D50B"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Consumer reports are valid safety reports when the minimum criteria for an ICSR are met.</w:t>
      </w:r>
    </w:p>
    <w:p w14:paraId="4C51D299"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The absence of a healthcare professional report does not automatically make a report invalid.</w:t>
      </w:r>
    </w:p>
    <w:p w14:paraId="7A091BFC"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However, follow-up may sometimes be required to obtain additional medical information, depending on the case and applicable procedures.</w:t>
      </w:r>
    </w:p>
    <w:p w14:paraId="4A837BAC" w14:textId="48E15034" w:rsidR="00156A0E" w:rsidRPr="00156A0E" w:rsidRDefault="00156A0E" w:rsidP="00156A0E">
      <w:pPr>
        <w:rPr>
          <w:rFonts w:ascii="Times New Roman" w:hAnsi="Times New Roman" w:cs="Times New Roman"/>
        </w:rPr>
      </w:pPr>
    </w:p>
    <w:p w14:paraId="312C4955" w14:textId="77777777" w:rsidR="00156A0E" w:rsidRPr="00156A0E" w:rsidRDefault="00156A0E" w:rsidP="00156A0E">
      <w:pPr>
        <w:rPr>
          <w:rFonts w:ascii="Times New Roman" w:hAnsi="Times New Roman" w:cs="Times New Roman"/>
          <w:b/>
          <w:bCs/>
        </w:rPr>
      </w:pPr>
      <w:r w:rsidRPr="00156A0E">
        <w:rPr>
          <w:rFonts w:ascii="Times New Roman" w:hAnsi="Times New Roman" w:cs="Times New Roman"/>
          <w:b/>
          <w:bCs/>
        </w:rPr>
        <w:t>18. SPONTANEOUS REPORT</w:t>
      </w:r>
    </w:p>
    <w:p w14:paraId="0B05FF2C"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A spontaneous report is an unsolicited communication describing one or more suspected adverse events associated with one or more medicinal products.</w:t>
      </w:r>
    </w:p>
    <w:p w14:paraId="001B04CB"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Spontaneous reports may come from healthcare professionals, patients, consumers, or other sources.</w:t>
      </w:r>
    </w:p>
    <w:p w14:paraId="27939000"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For example, a physician independently contacts a pharmaceutical company to report that a patient developed an adverse reaction while taking a company's product. This may be considered a spontaneous report.</w:t>
      </w:r>
    </w:p>
    <w:p w14:paraId="630828F1" w14:textId="0CEF06B7" w:rsidR="00156A0E" w:rsidRPr="00156A0E" w:rsidRDefault="00156A0E" w:rsidP="00156A0E">
      <w:pPr>
        <w:rPr>
          <w:rFonts w:ascii="Times New Roman" w:hAnsi="Times New Roman" w:cs="Times New Roman"/>
        </w:rPr>
      </w:pPr>
    </w:p>
    <w:p w14:paraId="4B177EB7" w14:textId="77777777" w:rsidR="00156A0E" w:rsidRPr="00156A0E" w:rsidRDefault="00156A0E" w:rsidP="00156A0E">
      <w:pPr>
        <w:rPr>
          <w:rFonts w:ascii="Times New Roman" w:hAnsi="Times New Roman" w:cs="Times New Roman"/>
          <w:b/>
          <w:bCs/>
        </w:rPr>
      </w:pPr>
      <w:r w:rsidRPr="00156A0E">
        <w:rPr>
          <w:rFonts w:ascii="Times New Roman" w:hAnsi="Times New Roman" w:cs="Times New Roman"/>
          <w:b/>
          <w:bCs/>
        </w:rPr>
        <w:t>19. SOLICITED REPORT</w:t>
      </w:r>
    </w:p>
    <w:p w14:paraId="5F65122A"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A solicited report is obtained through an organized data collection system or program.</w:t>
      </w:r>
    </w:p>
    <w:p w14:paraId="4376AD60"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Examples may include clinical studies, patient support programs, disease management programs, registries, surveys, market research programs, or other organized activities.</w:t>
      </w:r>
    </w:p>
    <w:p w14:paraId="3AE606BB"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The classification of a report as solicited or spontaneous depends on how the information was obtained and the applicable pharmacovigilance framework.</w:t>
      </w:r>
    </w:p>
    <w:p w14:paraId="259CF905" w14:textId="6FCC553D" w:rsidR="00156A0E" w:rsidRPr="00156A0E" w:rsidRDefault="00156A0E" w:rsidP="00156A0E">
      <w:pPr>
        <w:rPr>
          <w:rFonts w:ascii="Times New Roman" w:hAnsi="Times New Roman" w:cs="Times New Roman"/>
        </w:rPr>
      </w:pPr>
    </w:p>
    <w:p w14:paraId="1209FA6E" w14:textId="77777777" w:rsidR="00156A0E" w:rsidRPr="00156A0E" w:rsidRDefault="00156A0E" w:rsidP="00156A0E">
      <w:pPr>
        <w:rPr>
          <w:rFonts w:ascii="Times New Roman" w:hAnsi="Times New Roman" w:cs="Times New Roman"/>
          <w:b/>
          <w:bCs/>
        </w:rPr>
      </w:pPr>
      <w:r w:rsidRPr="00156A0E">
        <w:rPr>
          <w:rFonts w:ascii="Times New Roman" w:hAnsi="Times New Roman" w:cs="Times New Roman"/>
          <w:b/>
          <w:bCs/>
        </w:rPr>
        <w:t>20. CLINICAL TRIAL SAFETY REPORT</w:t>
      </w:r>
    </w:p>
    <w:p w14:paraId="23D8F7A0"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Safety information generated during a clinical trial is processed according to clinical trial pharmacovigilance requirements and applicable regulations.</w:t>
      </w:r>
    </w:p>
    <w:p w14:paraId="55A0684D"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Examples include adverse events, serious adverse events, suspected unexpected serious adverse reactions, and other safety information.</w:t>
      </w:r>
    </w:p>
    <w:p w14:paraId="05CE2E23"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Clinical trial cases may involve additional information such as study number, protocol number, investigator details, treatment assignment, study phase, and investigational product information.</w:t>
      </w:r>
    </w:p>
    <w:p w14:paraId="51CCB839" w14:textId="351E8B22" w:rsidR="00156A0E" w:rsidRPr="00156A0E" w:rsidRDefault="00156A0E" w:rsidP="00156A0E">
      <w:pPr>
        <w:rPr>
          <w:rFonts w:ascii="Times New Roman" w:hAnsi="Times New Roman" w:cs="Times New Roman"/>
        </w:rPr>
      </w:pPr>
    </w:p>
    <w:p w14:paraId="35C455CC" w14:textId="77777777" w:rsidR="00156A0E" w:rsidRPr="00156A0E" w:rsidRDefault="00156A0E" w:rsidP="00156A0E">
      <w:pPr>
        <w:rPr>
          <w:rFonts w:ascii="Times New Roman" w:hAnsi="Times New Roman" w:cs="Times New Roman"/>
          <w:b/>
          <w:bCs/>
        </w:rPr>
      </w:pPr>
      <w:r w:rsidRPr="00156A0E">
        <w:rPr>
          <w:rFonts w:ascii="Times New Roman" w:hAnsi="Times New Roman" w:cs="Times New Roman"/>
          <w:b/>
          <w:bCs/>
        </w:rPr>
        <w:t>21. POST-MARKETING SAFETY REPORT</w:t>
      </w:r>
    </w:p>
    <w:p w14:paraId="481C4CF3"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lastRenderedPageBreak/>
        <w:t>Post-marketing safety reports are received after a medicinal product has been authorized and marketed.</w:t>
      </w:r>
    </w:p>
    <w:p w14:paraId="00C0D7F4"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They may originate from spontaneous reports, literature, regulatory authorities, patient support programs, and other sources.</w:t>
      </w:r>
    </w:p>
    <w:p w14:paraId="01295EAC"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Post-marketing cases can contribute significantly to the ongoing safety monitoring of medicinal products because they provide information from broader patient populations and real-world use.</w:t>
      </w:r>
    </w:p>
    <w:p w14:paraId="2B219459" w14:textId="19A6F555" w:rsidR="00156A0E" w:rsidRPr="00156A0E" w:rsidRDefault="00156A0E" w:rsidP="00156A0E">
      <w:pPr>
        <w:rPr>
          <w:rFonts w:ascii="Times New Roman" w:hAnsi="Times New Roman" w:cs="Times New Roman"/>
        </w:rPr>
      </w:pPr>
    </w:p>
    <w:p w14:paraId="4244F195" w14:textId="77777777" w:rsidR="00156A0E" w:rsidRPr="00156A0E" w:rsidRDefault="00156A0E" w:rsidP="00156A0E">
      <w:pPr>
        <w:rPr>
          <w:rFonts w:ascii="Times New Roman" w:hAnsi="Times New Roman" w:cs="Times New Roman"/>
          <w:b/>
          <w:bCs/>
        </w:rPr>
      </w:pPr>
      <w:r w:rsidRPr="00156A0E">
        <w:rPr>
          <w:rFonts w:ascii="Times New Roman" w:hAnsi="Times New Roman" w:cs="Times New Roman"/>
          <w:b/>
          <w:bCs/>
        </w:rPr>
        <w:t>22. INITIAL VS FOLLOW-UP CASE</w:t>
      </w:r>
    </w:p>
    <w:p w14:paraId="69F4CB1D"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 xml:space="preserve">An </w:t>
      </w:r>
      <w:r w:rsidRPr="00156A0E">
        <w:rPr>
          <w:rFonts w:ascii="Times New Roman" w:hAnsi="Times New Roman" w:cs="Times New Roman"/>
          <w:b/>
          <w:bCs/>
        </w:rPr>
        <w:t>initial report</w:t>
      </w:r>
      <w:r w:rsidRPr="00156A0E">
        <w:rPr>
          <w:rFonts w:ascii="Times New Roman" w:hAnsi="Times New Roman" w:cs="Times New Roman"/>
        </w:rPr>
        <w:t xml:space="preserve"> is the first report received by the company or organization containing information about a particular safety case.</w:t>
      </w:r>
    </w:p>
    <w:p w14:paraId="6F2101EE"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 xml:space="preserve">A </w:t>
      </w:r>
      <w:r w:rsidRPr="00156A0E">
        <w:rPr>
          <w:rFonts w:ascii="Times New Roman" w:hAnsi="Times New Roman" w:cs="Times New Roman"/>
          <w:b/>
          <w:bCs/>
        </w:rPr>
        <w:t>follow-up report</w:t>
      </w:r>
      <w:r w:rsidRPr="00156A0E">
        <w:rPr>
          <w:rFonts w:ascii="Times New Roman" w:hAnsi="Times New Roman" w:cs="Times New Roman"/>
        </w:rPr>
        <w:t xml:space="preserve"> contains additional information received after the initial report.</w:t>
      </w:r>
    </w:p>
    <w:p w14:paraId="605404F7"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For example, an initial report may state that a patient developed liver enzyme elevation while taking Drug X. Later, the company receives laboratory results, treatment information, and outcome information from the reporter. The new information would be processed as follow-up information for the existing case.</w:t>
      </w:r>
    </w:p>
    <w:p w14:paraId="124F5B2A"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A follow-up report should generally not be treated as an entirely new case when it relates to an already existing case. Proper case matching and duplicate checking are important.</w:t>
      </w:r>
    </w:p>
    <w:p w14:paraId="09690F29" w14:textId="79219D92" w:rsidR="00156A0E" w:rsidRPr="00156A0E" w:rsidRDefault="00156A0E" w:rsidP="00156A0E">
      <w:pPr>
        <w:rPr>
          <w:rFonts w:ascii="Times New Roman" w:hAnsi="Times New Roman" w:cs="Times New Roman"/>
        </w:rPr>
      </w:pPr>
    </w:p>
    <w:p w14:paraId="1E775484" w14:textId="77777777" w:rsidR="00156A0E" w:rsidRPr="00156A0E" w:rsidRDefault="00156A0E" w:rsidP="00156A0E">
      <w:pPr>
        <w:rPr>
          <w:rFonts w:ascii="Times New Roman" w:hAnsi="Times New Roman" w:cs="Times New Roman"/>
          <w:b/>
          <w:bCs/>
        </w:rPr>
      </w:pPr>
      <w:r w:rsidRPr="00156A0E">
        <w:rPr>
          <w:rFonts w:ascii="Times New Roman" w:hAnsi="Times New Roman" w:cs="Times New Roman"/>
          <w:b/>
          <w:bCs/>
        </w:rPr>
        <w:t>23. DUPLICATE CASE</w:t>
      </w:r>
    </w:p>
    <w:p w14:paraId="62F1FD67"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A duplicate case occurs when the same safety event is reported more than once through different sources or at different times.</w:t>
      </w:r>
    </w:p>
    <w:p w14:paraId="7893541F"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For example, a physician may report an event directly to the pharmaceutical company, while the same event may also be reported to a regulatory authority.</w:t>
      </w:r>
    </w:p>
    <w:p w14:paraId="470F2531"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If both reports describe the same patient and event, they may represent duplicate reports.</w:t>
      </w:r>
    </w:p>
    <w:p w14:paraId="2B12B36D"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Duplicate detection is important because counting the same event multiple times can distort safety data and potentially affect signal detection and regulatory reporting.</w:t>
      </w:r>
    </w:p>
    <w:p w14:paraId="077A2249" w14:textId="79DB9CF7" w:rsidR="00156A0E" w:rsidRPr="00156A0E" w:rsidRDefault="00156A0E" w:rsidP="00156A0E">
      <w:pPr>
        <w:rPr>
          <w:rFonts w:ascii="Times New Roman" w:hAnsi="Times New Roman" w:cs="Times New Roman"/>
        </w:rPr>
      </w:pPr>
    </w:p>
    <w:p w14:paraId="7381FB25" w14:textId="77777777" w:rsidR="00156A0E" w:rsidRPr="00156A0E" w:rsidRDefault="00156A0E" w:rsidP="00156A0E">
      <w:pPr>
        <w:rPr>
          <w:rFonts w:ascii="Times New Roman" w:hAnsi="Times New Roman" w:cs="Times New Roman"/>
          <w:b/>
          <w:bCs/>
        </w:rPr>
      </w:pPr>
      <w:r w:rsidRPr="00156A0E">
        <w:rPr>
          <w:rFonts w:ascii="Times New Roman" w:hAnsi="Times New Roman" w:cs="Times New Roman"/>
          <w:b/>
          <w:bCs/>
        </w:rPr>
        <w:t>24. MEDICALLY CONFIRMED VS NON-MEDICALLY CONFIRMED</w:t>
      </w:r>
    </w:p>
    <w:p w14:paraId="5C8CB639"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A safety report may be medically confirmed when relevant medical information is provided or confirmed by a healthcare professional.</w:t>
      </w:r>
    </w:p>
    <w:p w14:paraId="1D37853F"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A report from a consumer may initially contain limited clinical information. Depending on the circumstances, the company may seek follow-up from a healthcare professional or other source.</w:t>
      </w:r>
    </w:p>
    <w:p w14:paraId="75FF81DF"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Medical confirmation can provide additional clinical details and may help with medical assessment, seriousness evaluation, diagnosis, outcome, and causality.</w:t>
      </w:r>
    </w:p>
    <w:p w14:paraId="66264CDC"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However, a report is not automatically invalid simply because it originated from a consumer.</w:t>
      </w:r>
    </w:p>
    <w:p w14:paraId="665F6FB5" w14:textId="3F0D3CA0" w:rsidR="00156A0E" w:rsidRPr="00156A0E" w:rsidRDefault="00156A0E" w:rsidP="00156A0E">
      <w:pPr>
        <w:rPr>
          <w:rFonts w:ascii="Times New Roman" w:hAnsi="Times New Roman" w:cs="Times New Roman"/>
        </w:rPr>
      </w:pPr>
    </w:p>
    <w:p w14:paraId="764D6025" w14:textId="77777777" w:rsidR="00156A0E" w:rsidRPr="00156A0E" w:rsidRDefault="00156A0E" w:rsidP="00156A0E">
      <w:pPr>
        <w:rPr>
          <w:rFonts w:ascii="Times New Roman" w:hAnsi="Times New Roman" w:cs="Times New Roman"/>
          <w:b/>
          <w:bCs/>
        </w:rPr>
      </w:pPr>
      <w:r w:rsidRPr="00156A0E">
        <w:rPr>
          <w:rFonts w:ascii="Times New Roman" w:hAnsi="Times New Roman" w:cs="Times New Roman"/>
          <w:b/>
          <w:bCs/>
        </w:rPr>
        <w:t>25. SPECIAL SITUATIONS</w:t>
      </w:r>
    </w:p>
    <w:p w14:paraId="116E7324"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lastRenderedPageBreak/>
        <w:t>Pharmacovigilance case classification may also require identification of special situations.</w:t>
      </w:r>
    </w:p>
    <w:p w14:paraId="5543DDC1"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Examples can include:</w:t>
      </w:r>
    </w:p>
    <w:p w14:paraId="279F1F5D" w14:textId="77777777" w:rsidR="00156A0E" w:rsidRPr="00156A0E" w:rsidRDefault="00156A0E" w:rsidP="00156A0E">
      <w:pPr>
        <w:rPr>
          <w:rFonts w:ascii="Times New Roman" w:hAnsi="Times New Roman" w:cs="Times New Roman"/>
        </w:rPr>
      </w:pPr>
      <w:r w:rsidRPr="00156A0E">
        <w:rPr>
          <w:rFonts w:ascii="Times New Roman" w:hAnsi="Times New Roman" w:cs="Times New Roman"/>
          <w:b/>
          <w:bCs/>
        </w:rPr>
        <w:t>Pregnancy exposure</w:t>
      </w:r>
    </w:p>
    <w:p w14:paraId="1E82FBFE" w14:textId="77777777" w:rsidR="00156A0E" w:rsidRPr="00156A0E" w:rsidRDefault="00156A0E" w:rsidP="00156A0E">
      <w:pPr>
        <w:rPr>
          <w:rFonts w:ascii="Times New Roman" w:hAnsi="Times New Roman" w:cs="Times New Roman"/>
        </w:rPr>
      </w:pPr>
      <w:r w:rsidRPr="00156A0E">
        <w:rPr>
          <w:rFonts w:ascii="Times New Roman" w:hAnsi="Times New Roman" w:cs="Times New Roman"/>
          <w:b/>
          <w:bCs/>
        </w:rPr>
        <w:t>Breastfeeding exposure</w:t>
      </w:r>
    </w:p>
    <w:p w14:paraId="220A0482" w14:textId="77777777" w:rsidR="00156A0E" w:rsidRPr="00156A0E" w:rsidRDefault="00156A0E" w:rsidP="00156A0E">
      <w:pPr>
        <w:rPr>
          <w:rFonts w:ascii="Times New Roman" w:hAnsi="Times New Roman" w:cs="Times New Roman"/>
        </w:rPr>
      </w:pPr>
      <w:r w:rsidRPr="00156A0E">
        <w:rPr>
          <w:rFonts w:ascii="Times New Roman" w:hAnsi="Times New Roman" w:cs="Times New Roman"/>
          <w:b/>
          <w:bCs/>
        </w:rPr>
        <w:t>Medication error</w:t>
      </w:r>
    </w:p>
    <w:p w14:paraId="755BC2C5" w14:textId="77777777" w:rsidR="00156A0E" w:rsidRPr="00156A0E" w:rsidRDefault="00156A0E" w:rsidP="00156A0E">
      <w:pPr>
        <w:rPr>
          <w:rFonts w:ascii="Times New Roman" w:hAnsi="Times New Roman" w:cs="Times New Roman"/>
        </w:rPr>
      </w:pPr>
      <w:r w:rsidRPr="00156A0E">
        <w:rPr>
          <w:rFonts w:ascii="Times New Roman" w:hAnsi="Times New Roman" w:cs="Times New Roman"/>
          <w:b/>
          <w:bCs/>
        </w:rPr>
        <w:t>Overdose</w:t>
      </w:r>
    </w:p>
    <w:p w14:paraId="5C4BEDB6" w14:textId="77777777" w:rsidR="00156A0E" w:rsidRPr="00156A0E" w:rsidRDefault="00156A0E" w:rsidP="00156A0E">
      <w:pPr>
        <w:rPr>
          <w:rFonts w:ascii="Times New Roman" w:hAnsi="Times New Roman" w:cs="Times New Roman"/>
        </w:rPr>
      </w:pPr>
      <w:r w:rsidRPr="00156A0E">
        <w:rPr>
          <w:rFonts w:ascii="Times New Roman" w:hAnsi="Times New Roman" w:cs="Times New Roman"/>
          <w:b/>
          <w:bCs/>
        </w:rPr>
        <w:t>Off-label use</w:t>
      </w:r>
    </w:p>
    <w:p w14:paraId="67EB398E" w14:textId="77777777" w:rsidR="00156A0E" w:rsidRPr="00156A0E" w:rsidRDefault="00156A0E" w:rsidP="00156A0E">
      <w:pPr>
        <w:rPr>
          <w:rFonts w:ascii="Times New Roman" w:hAnsi="Times New Roman" w:cs="Times New Roman"/>
        </w:rPr>
      </w:pPr>
      <w:r w:rsidRPr="00156A0E">
        <w:rPr>
          <w:rFonts w:ascii="Times New Roman" w:hAnsi="Times New Roman" w:cs="Times New Roman"/>
          <w:b/>
          <w:bCs/>
        </w:rPr>
        <w:t>Misuse</w:t>
      </w:r>
    </w:p>
    <w:p w14:paraId="460BDFA4" w14:textId="77777777" w:rsidR="00156A0E" w:rsidRPr="00156A0E" w:rsidRDefault="00156A0E" w:rsidP="00156A0E">
      <w:pPr>
        <w:rPr>
          <w:rFonts w:ascii="Times New Roman" w:hAnsi="Times New Roman" w:cs="Times New Roman"/>
        </w:rPr>
      </w:pPr>
      <w:r w:rsidRPr="00156A0E">
        <w:rPr>
          <w:rFonts w:ascii="Times New Roman" w:hAnsi="Times New Roman" w:cs="Times New Roman"/>
          <w:b/>
          <w:bCs/>
        </w:rPr>
        <w:t>Abuse</w:t>
      </w:r>
    </w:p>
    <w:p w14:paraId="508F755D" w14:textId="77777777" w:rsidR="00156A0E" w:rsidRPr="00156A0E" w:rsidRDefault="00156A0E" w:rsidP="00156A0E">
      <w:pPr>
        <w:rPr>
          <w:rFonts w:ascii="Times New Roman" w:hAnsi="Times New Roman" w:cs="Times New Roman"/>
        </w:rPr>
      </w:pPr>
      <w:r w:rsidRPr="00156A0E">
        <w:rPr>
          <w:rFonts w:ascii="Times New Roman" w:hAnsi="Times New Roman" w:cs="Times New Roman"/>
          <w:b/>
          <w:bCs/>
        </w:rPr>
        <w:t>Occupational exposure</w:t>
      </w:r>
    </w:p>
    <w:p w14:paraId="2A964202" w14:textId="77777777" w:rsidR="00156A0E" w:rsidRPr="00156A0E" w:rsidRDefault="00156A0E" w:rsidP="00156A0E">
      <w:pPr>
        <w:rPr>
          <w:rFonts w:ascii="Times New Roman" w:hAnsi="Times New Roman" w:cs="Times New Roman"/>
        </w:rPr>
      </w:pPr>
      <w:r w:rsidRPr="00156A0E">
        <w:rPr>
          <w:rFonts w:ascii="Times New Roman" w:hAnsi="Times New Roman" w:cs="Times New Roman"/>
          <w:b/>
          <w:bCs/>
        </w:rPr>
        <w:t>Lack of efficacy</w:t>
      </w:r>
    </w:p>
    <w:p w14:paraId="616F1CAB" w14:textId="77777777" w:rsidR="00156A0E" w:rsidRPr="00156A0E" w:rsidRDefault="00156A0E" w:rsidP="00156A0E">
      <w:pPr>
        <w:rPr>
          <w:rFonts w:ascii="Times New Roman" w:hAnsi="Times New Roman" w:cs="Times New Roman"/>
        </w:rPr>
      </w:pPr>
      <w:r w:rsidRPr="00156A0E">
        <w:rPr>
          <w:rFonts w:ascii="Times New Roman" w:hAnsi="Times New Roman" w:cs="Times New Roman"/>
          <w:b/>
          <w:bCs/>
        </w:rPr>
        <w:t>Drug interaction</w:t>
      </w:r>
    </w:p>
    <w:p w14:paraId="7EABB312" w14:textId="77777777" w:rsidR="00156A0E" w:rsidRPr="00156A0E" w:rsidRDefault="00156A0E" w:rsidP="00156A0E">
      <w:pPr>
        <w:rPr>
          <w:rFonts w:ascii="Times New Roman" w:hAnsi="Times New Roman" w:cs="Times New Roman"/>
        </w:rPr>
      </w:pPr>
      <w:r w:rsidRPr="00156A0E">
        <w:rPr>
          <w:rFonts w:ascii="Times New Roman" w:hAnsi="Times New Roman" w:cs="Times New Roman"/>
          <w:b/>
          <w:bCs/>
        </w:rPr>
        <w:t>Product quality complaint associated with an adverse event</w:t>
      </w:r>
    </w:p>
    <w:p w14:paraId="1C01A969" w14:textId="77777777" w:rsidR="00156A0E" w:rsidRPr="00156A0E" w:rsidRDefault="00156A0E" w:rsidP="00156A0E">
      <w:pPr>
        <w:rPr>
          <w:rFonts w:ascii="Times New Roman" w:hAnsi="Times New Roman" w:cs="Times New Roman"/>
        </w:rPr>
      </w:pPr>
      <w:r w:rsidRPr="00156A0E">
        <w:rPr>
          <w:rFonts w:ascii="Times New Roman" w:hAnsi="Times New Roman" w:cs="Times New Roman"/>
          <w:b/>
          <w:bCs/>
        </w:rPr>
        <w:t>Withdrawal</w:t>
      </w:r>
    </w:p>
    <w:p w14:paraId="06CCDBF8"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Special situations may or may not include an adverse event. Some may require specific pharmacovigilance handling even when no adverse event has been reported.</w:t>
      </w:r>
    </w:p>
    <w:p w14:paraId="7C1F5CC2" w14:textId="7B491DE8" w:rsidR="00156A0E" w:rsidRPr="00156A0E" w:rsidRDefault="00156A0E" w:rsidP="00156A0E">
      <w:pPr>
        <w:rPr>
          <w:rFonts w:ascii="Times New Roman" w:hAnsi="Times New Roman" w:cs="Times New Roman"/>
        </w:rPr>
      </w:pPr>
    </w:p>
    <w:p w14:paraId="5A3669FF" w14:textId="77777777" w:rsidR="00156A0E" w:rsidRPr="00156A0E" w:rsidRDefault="00156A0E" w:rsidP="00156A0E">
      <w:pPr>
        <w:rPr>
          <w:rFonts w:ascii="Times New Roman" w:hAnsi="Times New Roman" w:cs="Times New Roman"/>
          <w:b/>
          <w:bCs/>
        </w:rPr>
      </w:pPr>
      <w:r w:rsidRPr="00156A0E">
        <w:rPr>
          <w:rFonts w:ascii="Times New Roman" w:hAnsi="Times New Roman" w:cs="Times New Roman"/>
          <w:b/>
          <w:bCs/>
        </w:rPr>
        <w:t>26. PREGNANCY EXPOSURE</w:t>
      </w:r>
    </w:p>
    <w:p w14:paraId="748D4EA6"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Pregnancy exposure is an important special situation in pharmacovigilance.</w:t>
      </w:r>
    </w:p>
    <w:p w14:paraId="6C0F2F89"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If a patient is exposed to a medicinal product during pregnancy, the case may require specific follow-up and evaluation.</w:t>
      </w:r>
    </w:p>
    <w:p w14:paraId="1D9F9714"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 xml:space="preserve">Important information may include gestational age, exposure timing, dose, duration, maternal medical history, pregnancy outcome, </w:t>
      </w:r>
      <w:proofErr w:type="spellStart"/>
      <w:r w:rsidRPr="00156A0E">
        <w:rPr>
          <w:rFonts w:ascii="Times New Roman" w:hAnsi="Times New Roman" w:cs="Times New Roman"/>
        </w:rPr>
        <w:t>fetal</w:t>
      </w:r>
      <w:proofErr w:type="spellEnd"/>
      <w:r w:rsidRPr="00156A0E">
        <w:rPr>
          <w:rFonts w:ascii="Times New Roman" w:hAnsi="Times New Roman" w:cs="Times New Roman"/>
        </w:rPr>
        <w:t xml:space="preserve"> outcome, and any reported congenital abnormalities or other adverse outcomes.</w:t>
      </w:r>
    </w:p>
    <w:p w14:paraId="0E739AEF"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The exact processing requirements depend on the product, type of exposure, and applicable company and regulatory procedures.</w:t>
      </w:r>
    </w:p>
    <w:p w14:paraId="040B6CF0" w14:textId="5B4182F0" w:rsidR="00156A0E" w:rsidRPr="00156A0E" w:rsidRDefault="00156A0E" w:rsidP="00156A0E">
      <w:pPr>
        <w:rPr>
          <w:rFonts w:ascii="Times New Roman" w:hAnsi="Times New Roman" w:cs="Times New Roman"/>
        </w:rPr>
      </w:pPr>
    </w:p>
    <w:p w14:paraId="455EE9CF" w14:textId="77777777" w:rsidR="00156A0E" w:rsidRPr="00156A0E" w:rsidRDefault="00156A0E" w:rsidP="00156A0E">
      <w:pPr>
        <w:rPr>
          <w:rFonts w:ascii="Times New Roman" w:hAnsi="Times New Roman" w:cs="Times New Roman"/>
          <w:b/>
          <w:bCs/>
        </w:rPr>
      </w:pPr>
      <w:r w:rsidRPr="00156A0E">
        <w:rPr>
          <w:rFonts w:ascii="Times New Roman" w:hAnsi="Times New Roman" w:cs="Times New Roman"/>
          <w:b/>
          <w:bCs/>
        </w:rPr>
        <w:t>27. MEDICATION ERROR</w:t>
      </w:r>
    </w:p>
    <w:p w14:paraId="653C93FF"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Medication error refers to an unintended mistake in the medication-use process that may result in inappropriate medication use or patient harm.</w:t>
      </w:r>
    </w:p>
    <w:p w14:paraId="600689C2"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Examples include incorrect dose, wrong route, wrong frequency, wrong patient, or incorrect administration.</w:t>
      </w:r>
    </w:p>
    <w:p w14:paraId="75DFB56F"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A medication error does not necessarily result in an adverse event. However, if an adverse event occurs, the case may require pharmacovigilance processing.</w:t>
      </w:r>
    </w:p>
    <w:p w14:paraId="22405AFD" w14:textId="387E2AEC" w:rsidR="00156A0E" w:rsidRPr="00156A0E" w:rsidRDefault="00156A0E" w:rsidP="00156A0E">
      <w:pPr>
        <w:rPr>
          <w:rFonts w:ascii="Times New Roman" w:hAnsi="Times New Roman" w:cs="Times New Roman"/>
        </w:rPr>
      </w:pPr>
    </w:p>
    <w:p w14:paraId="19EF5289" w14:textId="77777777" w:rsidR="00156A0E" w:rsidRPr="00156A0E" w:rsidRDefault="00156A0E" w:rsidP="00156A0E">
      <w:pPr>
        <w:rPr>
          <w:rFonts w:ascii="Times New Roman" w:hAnsi="Times New Roman" w:cs="Times New Roman"/>
          <w:b/>
          <w:bCs/>
        </w:rPr>
      </w:pPr>
      <w:r w:rsidRPr="00156A0E">
        <w:rPr>
          <w:rFonts w:ascii="Times New Roman" w:hAnsi="Times New Roman" w:cs="Times New Roman"/>
          <w:b/>
          <w:bCs/>
        </w:rPr>
        <w:lastRenderedPageBreak/>
        <w:t>28. OVERDOSE</w:t>
      </w:r>
    </w:p>
    <w:p w14:paraId="0D3E1535"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Overdose refers to administration or use of a medicinal product at a dose higher than the recommended or prescribed dose.</w:t>
      </w:r>
    </w:p>
    <w:p w14:paraId="21C05804"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An overdose may be intentional or accidental depending on the circumstances.</w:t>
      </w:r>
    </w:p>
    <w:p w14:paraId="6AFD490C"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The case should be evaluated for any associated adverse events, clinical consequences, treatment provided, and outcome.</w:t>
      </w:r>
    </w:p>
    <w:p w14:paraId="11E84906" w14:textId="373CF48A" w:rsidR="00156A0E" w:rsidRPr="00156A0E" w:rsidRDefault="00156A0E" w:rsidP="00156A0E">
      <w:pPr>
        <w:rPr>
          <w:rFonts w:ascii="Times New Roman" w:hAnsi="Times New Roman" w:cs="Times New Roman"/>
        </w:rPr>
      </w:pPr>
    </w:p>
    <w:p w14:paraId="174621CE" w14:textId="77777777" w:rsidR="00156A0E" w:rsidRPr="00156A0E" w:rsidRDefault="00156A0E" w:rsidP="00156A0E">
      <w:pPr>
        <w:rPr>
          <w:rFonts w:ascii="Times New Roman" w:hAnsi="Times New Roman" w:cs="Times New Roman"/>
          <w:b/>
          <w:bCs/>
        </w:rPr>
      </w:pPr>
      <w:r w:rsidRPr="00156A0E">
        <w:rPr>
          <w:rFonts w:ascii="Times New Roman" w:hAnsi="Times New Roman" w:cs="Times New Roman"/>
          <w:b/>
          <w:bCs/>
        </w:rPr>
        <w:t>29. OFF-LABEL USE</w:t>
      </w:r>
    </w:p>
    <w:p w14:paraId="788B9F45"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Off-label use refers to use of a medicinal product outside the approved conditions described in its authorized product information.</w:t>
      </w:r>
    </w:p>
    <w:p w14:paraId="1F6A0631"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Examples may involve a different indication, age group, dose, route, or other use outside the approved conditions.</w:t>
      </w:r>
    </w:p>
    <w:p w14:paraId="417C3D79"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Whether the case is reportable and how it should be classified depends on the circumstances and applicable pharmacovigilance requirements.</w:t>
      </w:r>
    </w:p>
    <w:p w14:paraId="564F2339" w14:textId="0DF97CFF" w:rsidR="00156A0E" w:rsidRPr="00156A0E" w:rsidRDefault="00156A0E" w:rsidP="00156A0E">
      <w:pPr>
        <w:rPr>
          <w:rFonts w:ascii="Times New Roman" w:hAnsi="Times New Roman" w:cs="Times New Roman"/>
        </w:rPr>
      </w:pPr>
    </w:p>
    <w:p w14:paraId="35071A80" w14:textId="77777777" w:rsidR="00156A0E" w:rsidRPr="00156A0E" w:rsidRDefault="00156A0E" w:rsidP="00156A0E">
      <w:pPr>
        <w:rPr>
          <w:rFonts w:ascii="Times New Roman" w:hAnsi="Times New Roman" w:cs="Times New Roman"/>
          <w:b/>
          <w:bCs/>
        </w:rPr>
      </w:pPr>
      <w:r w:rsidRPr="00156A0E">
        <w:rPr>
          <w:rFonts w:ascii="Times New Roman" w:hAnsi="Times New Roman" w:cs="Times New Roman"/>
          <w:b/>
          <w:bCs/>
        </w:rPr>
        <w:t>30. LACK OF EFFICACY</w:t>
      </w:r>
    </w:p>
    <w:p w14:paraId="6C905D57"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Lack of efficacy refers to a situation in which the medicinal product does not produce the expected therapeutic effect.</w:t>
      </w:r>
    </w:p>
    <w:p w14:paraId="7959BF53"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For example, a patient receives an antibiotic but the infection does not improve.</w:t>
      </w:r>
    </w:p>
    <w:p w14:paraId="030DC293"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Lack of efficacy may have particular importance for certain medicines and medical conditions, especially where treatment failure can have serious consequences.</w:t>
      </w:r>
    </w:p>
    <w:p w14:paraId="41EE38C6"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The case should be assessed according to applicable company and regulatory procedures.</w:t>
      </w:r>
    </w:p>
    <w:p w14:paraId="6B04E6AF" w14:textId="6602A179" w:rsidR="00156A0E" w:rsidRPr="00156A0E" w:rsidRDefault="00156A0E" w:rsidP="00156A0E">
      <w:pPr>
        <w:rPr>
          <w:rFonts w:ascii="Times New Roman" w:hAnsi="Times New Roman" w:cs="Times New Roman"/>
        </w:rPr>
      </w:pPr>
    </w:p>
    <w:p w14:paraId="3612C7DA" w14:textId="77777777" w:rsidR="00156A0E" w:rsidRPr="00156A0E" w:rsidRDefault="00156A0E" w:rsidP="00156A0E">
      <w:pPr>
        <w:rPr>
          <w:rFonts w:ascii="Times New Roman" w:hAnsi="Times New Roman" w:cs="Times New Roman"/>
          <w:b/>
          <w:bCs/>
        </w:rPr>
      </w:pPr>
      <w:r w:rsidRPr="00156A0E">
        <w:rPr>
          <w:rFonts w:ascii="Times New Roman" w:hAnsi="Times New Roman" w:cs="Times New Roman"/>
          <w:b/>
          <w:bCs/>
        </w:rPr>
        <w:t>31. PRODUCT QUALITY COMPLAINT WITH AN ADVERSE EVENT</w:t>
      </w:r>
    </w:p>
    <w:p w14:paraId="0989CED7"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 xml:space="preserve">A product quality complaint may involve a suspected defect or issue with a medicinal product, such as packaging problems, contamination, incorrect </w:t>
      </w:r>
      <w:proofErr w:type="spellStart"/>
      <w:r w:rsidRPr="00156A0E">
        <w:rPr>
          <w:rFonts w:ascii="Times New Roman" w:hAnsi="Times New Roman" w:cs="Times New Roman"/>
        </w:rPr>
        <w:t>labeling</w:t>
      </w:r>
      <w:proofErr w:type="spellEnd"/>
      <w:r w:rsidRPr="00156A0E">
        <w:rPr>
          <w:rFonts w:ascii="Times New Roman" w:hAnsi="Times New Roman" w:cs="Times New Roman"/>
        </w:rPr>
        <w:t>, physical abnormalities, or other quality concerns.</w:t>
      </w:r>
    </w:p>
    <w:p w14:paraId="06D0BD04"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If the quality complaint is associated with an adverse event, both the quality and pharmacovigilance aspects may need to be addressed.</w:t>
      </w:r>
    </w:p>
    <w:p w14:paraId="10EFEAB1"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For example, if a patient reports that a product appeared physically abnormal and subsequently developed an adverse event, the information may require coordination between the pharmacovigilance and quality teams.</w:t>
      </w:r>
    </w:p>
    <w:p w14:paraId="5F0B5088" w14:textId="64AD437B" w:rsidR="00156A0E" w:rsidRPr="00156A0E" w:rsidRDefault="00156A0E" w:rsidP="00156A0E">
      <w:pPr>
        <w:rPr>
          <w:rFonts w:ascii="Times New Roman" w:hAnsi="Times New Roman" w:cs="Times New Roman"/>
        </w:rPr>
      </w:pPr>
    </w:p>
    <w:p w14:paraId="501D4F24" w14:textId="77777777" w:rsidR="00156A0E" w:rsidRPr="00156A0E" w:rsidRDefault="00156A0E" w:rsidP="00156A0E">
      <w:pPr>
        <w:rPr>
          <w:rFonts w:ascii="Times New Roman" w:hAnsi="Times New Roman" w:cs="Times New Roman"/>
          <w:b/>
          <w:bCs/>
        </w:rPr>
      </w:pPr>
      <w:r w:rsidRPr="00156A0E">
        <w:rPr>
          <w:rFonts w:ascii="Times New Roman" w:hAnsi="Times New Roman" w:cs="Times New Roman"/>
          <w:b/>
          <w:bCs/>
        </w:rPr>
        <w:t>32. MEDDRA CODING</w:t>
      </w:r>
    </w:p>
    <w:p w14:paraId="0F71FAD6"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 xml:space="preserve">MedDRA stands for </w:t>
      </w:r>
      <w:r w:rsidRPr="00156A0E">
        <w:rPr>
          <w:rFonts w:ascii="Times New Roman" w:hAnsi="Times New Roman" w:cs="Times New Roman"/>
          <w:b/>
          <w:bCs/>
        </w:rPr>
        <w:t>Medical Dictionary for Regulatory Activities</w:t>
      </w:r>
      <w:r w:rsidRPr="00156A0E">
        <w:rPr>
          <w:rFonts w:ascii="Times New Roman" w:hAnsi="Times New Roman" w:cs="Times New Roman"/>
        </w:rPr>
        <w:t>.</w:t>
      </w:r>
    </w:p>
    <w:p w14:paraId="22B0A6A8"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It is a standardized medical terminology used for coding and classifying medical information in pharmacovigilance and regulatory activities.</w:t>
      </w:r>
    </w:p>
    <w:p w14:paraId="6DF6365F"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lastRenderedPageBreak/>
        <w:t>Reported terms such as “stomach pain,” “skin rash,” or “difficulty breathing” may be coded to appropriate MedDRA terms according to the reported information and coding conventions.</w:t>
      </w:r>
    </w:p>
    <w:p w14:paraId="1990D552"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MedDRA has a hierarchical structure that includes:</w:t>
      </w:r>
    </w:p>
    <w:p w14:paraId="64547989" w14:textId="77777777" w:rsidR="00156A0E" w:rsidRPr="00156A0E" w:rsidRDefault="00156A0E" w:rsidP="00156A0E">
      <w:pPr>
        <w:rPr>
          <w:rFonts w:ascii="Times New Roman" w:hAnsi="Times New Roman" w:cs="Times New Roman"/>
        </w:rPr>
      </w:pPr>
      <w:r w:rsidRPr="00156A0E">
        <w:rPr>
          <w:rFonts w:ascii="Times New Roman" w:hAnsi="Times New Roman" w:cs="Times New Roman"/>
          <w:b/>
          <w:bCs/>
        </w:rPr>
        <w:t>SOC – System Organ Class</w:t>
      </w:r>
    </w:p>
    <w:p w14:paraId="17C7794E" w14:textId="77777777" w:rsidR="00156A0E" w:rsidRPr="00156A0E" w:rsidRDefault="00156A0E" w:rsidP="00156A0E">
      <w:pPr>
        <w:rPr>
          <w:rFonts w:ascii="Times New Roman" w:hAnsi="Times New Roman" w:cs="Times New Roman"/>
        </w:rPr>
      </w:pPr>
      <w:r w:rsidRPr="00156A0E">
        <w:rPr>
          <w:rFonts w:ascii="Times New Roman" w:hAnsi="Times New Roman" w:cs="Times New Roman"/>
          <w:b/>
          <w:bCs/>
        </w:rPr>
        <w:t>HLGT – High Level Group Term</w:t>
      </w:r>
    </w:p>
    <w:p w14:paraId="5A855477" w14:textId="77777777" w:rsidR="00156A0E" w:rsidRPr="00156A0E" w:rsidRDefault="00156A0E" w:rsidP="00156A0E">
      <w:pPr>
        <w:rPr>
          <w:rFonts w:ascii="Times New Roman" w:hAnsi="Times New Roman" w:cs="Times New Roman"/>
        </w:rPr>
      </w:pPr>
      <w:r w:rsidRPr="00156A0E">
        <w:rPr>
          <w:rFonts w:ascii="Times New Roman" w:hAnsi="Times New Roman" w:cs="Times New Roman"/>
          <w:b/>
          <w:bCs/>
        </w:rPr>
        <w:t>HLT – High Level Term</w:t>
      </w:r>
    </w:p>
    <w:p w14:paraId="48063CBC" w14:textId="77777777" w:rsidR="00156A0E" w:rsidRPr="00156A0E" w:rsidRDefault="00156A0E" w:rsidP="00156A0E">
      <w:pPr>
        <w:rPr>
          <w:rFonts w:ascii="Times New Roman" w:hAnsi="Times New Roman" w:cs="Times New Roman"/>
        </w:rPr>
      </w:pPr>
      <w:r w:rsidRPr="00156A0E">
        <w:rPr>
          <w:rFonts w:ascii="Times New Roman" w:hAnsi="Times New Roman" w:cs="Times New Roman"/>
          <w:b/>
          <w:bCs/>
        </w:rPr>
        <w:t>PT – Preferred Term</w:t>
      </w:r>
    </w:p>
    <w:p w14:paraId="3254DA87" w14:textId="77777777" w:rsidR="00156A0E" w:rsidRPr="00156A0E" w:rsidRDefault="00156A0E" w:rsidP="00156A0E">
      <w:pPr>
        <w:rPr>
          <w:rFonts w:ascii="Times New Roman" w:hAnsi="Times New Roman" w:cs="Times New Roman"/>
        </w:rPr>
      </w:pPr>
      <w:r w:rsidRPr="00156A0E">
        <w:rPr>
          <w:rFonts w:ascii="Times New Roman" w:hAnsi="Times New Roman" w:cs="Times New Roman"/>
          <w:b/>
          <w:bCs/>
        </w:rPr>
        <w:t>LLT – Lowest Level Term</w:t>
      </w:r>
    </w:p>
    <w:p w14:paraId="7C504BE6"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For interviews, remember:</w:t>
      </w:r>
    </w:p>
    <w:p w14:paraId="2F7CB51C" w14:textId="77777777" w:rsidR="00156A0E" w:rsidRPr="00156A0E" w:rsidRDefault="00156A0E" w:rsidP="00156A0E">
      <w:pPr>
        <w:rPr>
          <w:rFonts w:ascii="Times New Roman" w:hAnsi="Times New Roman" w:cs="Times New Roman"/>
        </w:rPr>
      </w:pPr>
      <w:r w:rsidRPr="00156A0E">
        <w:rPr>
          <w:rFonts w:ascii="Times New Roman" w:hAnsi="Times New Roman" w:cs="Times New Roman"/>
          <w:b/>
          <w:bCs/>
        </w:rPr>
        <w:t>MedDRA is used to standardize the coding of medical terminology in safety data.</w:t>
      </w:r>
    </w:p>
    <w:p w14:paraId="5E3CC511" w14:textId="01F9BBFB" w:rsidR="00156A0E" w:rsidRPr="00156A0E" w:rsidRDefault="00156A0E" w:rsidP="00156A0E">
      <w:pPr>
        <w:rPr>
          <w:rFonts w:ascii="Times New Roman" w:hAnsi="Times New Roman" w:cs="Times New Roman"/>
        </w:rPr>
      </w:pPr>
    </w:p>
    <w:p w14:paraId="5C610B78" w14:textId="77777777" w:rsidR="00156A0E" w:rsidRPr="00156A0E" w:rsidRDefault="00156A0E" w:rsidP="00156A0E">
      <w:pPr>
        <w:rPr>
          <w:rFonts w:ascii="Times New Roman" w:hAnsi="Times New Roman" w:cs="Times New Roman"/>
          <w:b/>
          <w:bCs/>
        </w:rPr>
      </w:pPr>
      <w:r w:rsidRPr="00156A0E">
        <w:rPr>
          <w:rFonts w:ascii="Times New Roman" w:hAnsi="Times New Roman" w:cs="Times New Roman"/>
          <w:b/>
          <w:bCs/>
        </w:rPr>
        <w:t>33. SAMPLE CASE CLASSIFICATION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3"/>
        <w:gridCol w:w="5371"/>
      </w:tblGrid>
      <w:tr w:rsidR="00156A0E" w:rsidRPr="00156A0E" w14:paraId="31BAB609" w14:textId="77777777">
        <w:trPr>
          <w:tblHeader/>
          <w:tblCellSpacing w:w="15" w:type="dxa"/>
        </w:trPr>
        <w:tc>
          <w:tcPr>
            <w:tcW w:w="0" w:type="auto"/>
            <w:vAlign w:val="center"/>
            <w:hideMark/>
          </w:tcPr>
          <w:p w14:paraId="1201E2D2" w14:textId="77777777" w:rsidR="00156A0E" w:rsidRPr="00156A0E" w:rsidRDefault="00156A0E" w:rsidP="00156A0E">
            <w:pPr>
              <w:rPr>
                <w:rFonts w:ascii="Times New Roman" w:hAnsi="Times New Roman" w:cs="Times New Roman"/>
                <w:b/>
                <w:bCs/>
              </w:rPr>
            </w:pPr>
            <w:r w:rsidRPr="00156A0E">
              <w:rPr>
                <w:rFonts w:ascii="Times New Roman" w:hAnsi="Times New Roman" w:cs="Times New Roman"/>
                <w:b/>
                <w:bCs/>
              </w:rPr>
              <w:t>Classification Parameter</w:t>
            </w:r>
          </w:p>
        </w:tc>
        <w:tc>
          <w:tcPr>
            <w:tcW w:w="0" w:type="auto"/>
            <w:vAlign w:val="center"/>
            <w:hideMark/>
          </w:tcPr>
          <w:p w14:paraId="6D675F2A" w14:textId="77777777" w:rsidR="00156A0E" w:rsidRPr="00156A0E" w:rsidRDefault="00156A0E" w:rsidP="00156A0E">
            <w:pPr>
              <w:rPr>
                <w:rFonts w:ascii="Times New Roman" w:hAnsi="Times New Roman" w:cs="Times New Roman"/>
                <w:b/>
                <w:bCs/>
              </w:rPr>
            </w:pPr>
            <w:r w:rsidRPr="00156A0E">
              <w:rPr>
                <w:rFonts w:ascii="Times New Roman" w:hAnsi="Times New Roman" w:cs="Times New Roman"/>
                <w:b/>
                <w:bCs/>
              </w:rPr>
              <w:t>Example</w:t>
            </w:r>
          </w:p>
        </w:tc>
      </w:tr>
      <w:tr w:rsidR="00156A0E" w:rsidRPr="00156A0E" w14:paraId="2E79BBB2" w14:textId="77777777">
        <w:trPr>
          <w:tblCellSpacing w:w="15" w:type="dxa"/>
        </w:trPr>
        <w:tc>
          <w:tcPr>
            <w:tcW w:w="0" w:type="auto"/>
            <w:vAlign w:val="center"/>
            <w:hideMark/>
          </w:tcPr>
          <w:p w14:paraId="62E640C6"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Case validity</w:t>
            </w:r>
          </w:p>
        </w:tc>
        <w:tc>
          <w:tcPr>
            <w:tcW w:w="0" w:type="auto"/>
            <w:vAlign w:val="center"/>
            <w:hideMark/>
          </w:tcPr>
          <w:p w14:paraId="364FCD0A"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Valid</w:t>
            </w:r>
          </w:p>
        </w:tc>
      </w:tr>
      <w:tr w:rsidR="00156A0E" w:rsidRPr="00156A0E" w14:paraId="2618A253" w14:textId="77777777">
        <w:trPr>
          <w:tblCellSpacing w:w="15" w:type="dxa"/>
        </w:trPr>
        <w:tc>
          <w:tcPr>
            <w:tcW w:w="0" w:type="auto"/>
            <w:vAlign w:val="center"/>
            <w:hideMark/>
          </w:tcPr>
          <w:p w14:paraId="0F2264F2"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Report type</w:t>
            </w:r>
          </w:p>
        </w:tc>
        <w:tc>
          <w:tcPr>
            <w:tcW w:w="0" w:type="auto"/>
            <w:vAlign w:val="center"/>
            <w:hideMark/>
          </w:tcPr>
          <w:p w14:paraId="3587641E"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Initial</w:t>
            </w:r>
          </w:p>
        </w:tc>
      </w:tr>
      <w:tr w:rsidR="00156A0E" w:rsidRPr="00156A0E" w14:paraId="4CF3B71B" w14:textId="77777777">
        <w:trPr>
          <w:tblCellSpacing w:w="15" w:type="dxa"/>
        </w:trPr>
        <w:tc>
          <w:tcPr>
            <w:tcW w:w="0" w:type="auto"/>
            <w:vAlign w:val="center"/>
            <w:hideMark/>
          </w:tcPr>
          <w:p w14:paraId="1A181250"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Source</w:t>
            </w:r>
          </w:p>
        </w:tc>
        <w:tc>
          <w:tcPr>
            <w:tcW w:w="0" w:type="auto"/>
            <w:vAlign w:val="center"/>
            <w:hideMark/>
          </w:tcPr>
          <w:p w14:paraId="28833778"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Healthcare Professional</w:t>
            </w:r>
          </w:p>
        </w:tc>
      </w:tr>
      <w:tr w:rsidR="00156A0E" w:rsidRPr="00156A0E" w14:paraId="7682213B" w14:textId="77777777">
        <w:trPr>
          <w:tblCellSpacing w:w="15" w:type="dxa"/>
        </w:trPr>
        <w:tc>
          <w:tcPr>
            <w:tcW w:w="0" w:type="auto"/>
            <w:vAlign w:val="center"/>
            <w:hideMark/>
          </w:tcPr>
          <w:p w14:paraId="3CC46FB5"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Patient</w:t>
            </w:r>
          </w:p>
        </w:tc>
        <w:tc>
          <w:tcPr>
            <w:tcW w:w="0" w:type="auto"/>
            <w:vAlign w:val="center"/>
            <w:hideMark/>
          </w:tcPr>
          <w:p w14:paraId="56FE57FB"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Identifiable</w:t>
            </w:r>
          </w:p>
        </w:tc>
      </w:tr>
      <w:tr w:rsidR="00156A0E" w:rsidRPr="00156A0E" w14:paraId="0544BED4" w14:textId="77777777">
        <w:trPr>
          <w:tblCellSpacing w:w="15" w:type="dxa"/>
        </w:trPr>
        <w:tc>
          <w:tcPr>
            <w:tcW w:w="0" w:type="auto"/>
            <w:vAlign w:val="center"/>
            <w:hideMark/>
          </w:tcPr>
          <w:p w14:paraId="7941C798"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Reporter</w:t>
            </w:r>
          </w:p>
        </w:tc>
        <w:tc>
          <w:tcPr>
            <w:tcW w:w="0" w:type="auto"/>
            <w:vAlign w:val="center"/>
            <w:hideMark/>
          </w:tcPr>
          <w:p w14:paraId="6B931976"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Identifiable</w:t>
            </w:r>
          </w:p>
        </w:tc>
      </w:tr>
      <w:tr w:rsidR="00156A0E" w:rsidRPr="00156A0E" w14:paraId="23F19BA7" w14:textId="77777777">
        <w:trPr>
          <w:tblCellSpacing w:w="15" w:type="dxa"/>
        </w:trPr>
        <w:tc>
          <w:tcPr>
            <w:tcW w:w="0" w:type="auto"/>
            <w:vAlign w:val="center"/>
            <w:hideMark/>
          </w:tcPr>
          <w:p w14:paraId="39598157"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Suspected product</w:t>
            </w:r>
          </w:p>
        </w:tc>
        <w:tc>
          <w:tcPr>
            <w:tcW w:w="0" w:type="auto"/>
            <w:vAlign w:val="center"/>
            <w:hideMark/>
          </w:tcPr>
          <w:p w14:paraId="39C3B488"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Drug X</w:t>
            </w:r>
          </w:p>
        </w:tc>
      </w:tr>
      <w:tr w:rsidR="00156A0E" w:rsidRPr="00156A0E" w14:paraId="64EC8619" w14:textId="77777777">
        <w:trPr>
          <w:tblCellSpacing w:w="15" w:type="dxa"/>
        </w:trPr>
        <w:tc>
          <w:tcPr>
            <w:tcW w:w="0" w:type="auto"/>
            <w:vAlign w:val="center"/>
            <w:hideMark/>
          </w:tcPr>
          <w:p w14:paraId="06ED0BC5"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Adverse event</w:t>
            </w:r>
          </w:p>
        </w:tc>
        <w:tc>
          <w:tcPr>
            <w:tcW w:w="0" w:type="auto"/>
            <w:vAlign w:val="center"/>
            <w:hideMark/>
          </w:tcPr>
          <w:p w14:paraId="4EE93D96"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Skin rash</w:t>
            </w:r>
          </w:p>
        </w:tc>
      </w:tr>
      <w:tr w:rsidR="00156A0E" w:rsidRPr="00156A0E" w14:paraId="5BA5BDFC" w14:textId="77777777">
        <w:trPr>
          <w:tblCellSpacing w:w="15" w:type="dxa"/>
        </w:trPr>
        <w:tc>
          <w:tcPr>
            <w:tcW w:w="0" w:type="auto"/>
            <w:vAlign w:val="center"/>
            <w:hideMark/>
          </w:tcPr>
          <w:p w14:paraId="60E1486B"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Seriousness</w:t>
            </w:r>
          </w:p>
        </w:tc>
        <w:tc>
          <w:tcPr>
            <w:tcW w:w="0" w:type="auto"/>
            <w:vAlign w:val="center"/>
            <w:hideMark/>
          </w:tcPr>
          <w:p w14:paraId="3DA41AD2"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Non-serious</w:t>
            </w:r>
          </w:p>
        </w:tc>
      </w:tr>
      <w:tr w:rsidR="00156A0E" w:rsidRPr="00156A0E" w14:paraId="4665279E" w14:textId="77777777">
        <w:trPr>
          <w:tblCellSpacing w:w="15" w:type="dxa"/>
        </w:trPr>
        <w:tc>
          <w:tcPr>
            <w:tcW w:w="0" w:type="auto"/>
            <w:vAlign w:val="center"/>
            <w:hideMark/>
          </w:tcPr>
          <w:p w14:paraId="00764245"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Expectedness</w:t>
            </w:r>
          </w:p>
        </w:tc>
        <w:tc>
          <w:tcPr>
            <w:tcW w:w="0" w:type="auto"/>
            <w:vAlign w:val="center"/>
            <w:hideMark/>
          </w:tcPr>
          <w:p w14:paraId="53D8FCC0"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Expected/List according to applicable reference information</w:t>
            </w:r>
          </w:p>
        </w:tc>
      </w:tr>
      <w:tr w:rsidR="00156A0E" w:rsidRPr="00156A0E" w14:paraId="7AF2BC12" w14:textId="77777777">
        <w:trPr>
          <w:tblCellSpacing w:w="15" w:type="dxa"/>
        </w:trPr>
        <w:tc>
          <w:tcPr>
            <w:tcW w:w="0" w:type="auto"/>
            <w:vAlign w:val="center"/>
            <w:hideMark/>
          </w:tcPr>
          <w:p w14:paraId="31ADC3D9"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Causality</w:t>
            </w:r>
          </w:p>
        </w:tc>
        <w:tc>
          <w:tcPr>
            <w:tcW w:w="0" w:type="auto"/>
            <w:vAlign w:val="center"/>
            <w:hideMark/>
          </w:tcPr>
          <w:p w14:paraId="723F2170"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Probable/Likely</w:t>
            </w:r>
          </w:p>
        </w:tc>
      </w:tr>
      <w:tr w:rsidR="00156A0E" w:rsidRPr="00156A0E" w14:paraId="02670E5E" w14:textId="77777777">
        <w:trPr>
          <w:tblCellSpacing w:w="15" w:type="dxa"/>
        </w:trPr>
        <w:tc>
          <w:tcPr>
            <w:tcW w:w="0" w:type="auto"/>
            <w:vAlign w:val="center"/>
            <w:hideMark/>
          </w:tcPr>
          <w:p w14:paraId="4D25FE71"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Report type</w:t>
            </w:r>
          </w:p>
        </w:tc>
        <w:tc>
          <w:tcPr>
            <w:tcW w:w="0" w:type="auto"/>
            <w:vAlign w:val="center"/>
            <w:hideMark/>
          </w:tcPr>
          <w:p w14:paraId="459F114A"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Spontaneous</w:t>
            </w:r>
          </w:p>
        </w:tc>
      </w:tr>
      <w:tr w:rsidR="00156A0E" w:rsidRPr="00156A0E" w14:paraId="78C835A5" w14:textId="77777777">
        <w:trPr>
          <w:tblCellSpacing w:w="15" w:type="dxa"/>
        </w:trPr>
        <w:tc>
          <w:tcPr>
            <w:tcW w:w="0" w:type="auto"/>
            <w:vAlign w:val="center"/>
            <w:hideMark/>
          </w:tcPr>
          <w:p w14:paraId="469ECE64" w14:textId="77777777" w:rsidR="00156A0E" w:rsidRPr="00156A0E" w:rsidRDefault="00156A0E" w:rsidP="00156A0E">
            <w:pPr>
              <w:rPr>
                <w:rFonts w:ascii="Times New Roman" w:hAnsi="Times New Roman" w:cs="Times New Roman"/>
              </w:rPr>
            </w:pPr>
            <w:proofErr w:type="spellStart"/>
            <w:r w:rsidRPr="00156A0E">
              <w:rPr>
                <w:rFonts w:ascii="Times New Roman" w:hAnsi="Times New Roman" w:cs="Times New Roman"/>
              </w:rPr>
              <w:t>Dechallenge</w:t>
            </w:r>
            <w:proofErr w:type="spellEnd"/>
          </w:p>
        </w:tc>
        <w:tc>
          <w:tcPr>
            <w:tcW w:w="0" w:type="auto"/>
            <w:vAlign w:val="center"/>
            <w:hideMark/>
          </w:tcPr>
          <w:p w14:paraId="5560AC8B"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Positive</w:t>
            </w:r>
          </w:p>
        </w:tc>
      </w:tr>
      <w:tr w:rsidR="00156A0E" w:rsidRPr="00156A0E" w14:paraId="72116DC4" w14:textId="77777777">
        <w:trPr>
          <w:tblCellSpacing w:w="15" w:type="dxa"/>
        </w:trPr>
        <w:tc>
          <w:tcPr>
            <w:tcW w:w="0" w:type="auto"/>
            <w:vAlign w:val="center"/>
            <w:hideMark/>
          </w:tcPr>
          <w:p w14:paraId="33BF0363"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Rechallenge</w:t>
            </w:r>
          </w:p>
        </w:tc>
        <w:tc>
          <w:tcPr>
            <w:tcW w:w="0" w:type="auto"/>
            <w:vAlign w:val="center"/>
            <w:hideMark/>
          </w:tcPr>
          <w:p w14:paraId="41F1BDF6"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Not available</w:t>
            </w:r>
          </w:p>
        </w:tc>
      </w:tr>
      <w:tr w:rsidR="00156A0E" w:rsidRPr="00156A0E" w14:paraId="40541935" w14:textId="77777777">
        <w:trPr>
          <w:tblCellSpacing w:w="15" w:type="dxa"/>
        </w:trPr>
        <w:tc>
          <w:tcPr>
            <w:tcW w:w="0" w:type="auto"/>
            <w:vAlign w:val="center"/>
            <w:hideMark/>
          </w:tcPr>
          <w:p w14:paraId="21ACEB85"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Alternative cause</w:t>
            </w:r>
          </w:p>
        </w:tc>
        <w:tc>
          <w:tcPr>
            <w:tcW w:w="0" w:type="auto"/>
            <w:vAlign w:val="center"/>
            <w:hideMark/>
          </w:tcPr>
          <w:p w14:paraId="01D415C7"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None identified</w:t>
            </w:r>
          </w:p>
        </w:tc>
      </w:tr>
      <w:tr w:rsidR="00156A0E" w:rsidRPr="00156A0E" w14:paraId="34F8A91F" w14:textId="77777777">
        <w:trPr>
          <w:tblCellSpacing w:w="15" w:type="dxa"/>
        </w:trPr>
        <w:tc>
          <w:tcPr>
            <w:tcW w:w="0" w:type="auto"/>
            <w:vAlign w:val="center"/>
            <w:hideMark/>
          </w:tcPr>
          <w:p w14:paraId="7557DCA5"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Special situation</w:t>
            </w:r>
          </w:p>
        </w:tc>
        <w:tc>
          <w:tcPr>
            <w:tcW w:w="0" w:type="auto"/>
            <w:vAlign w:val="center"/>
            <w:hideMark/>
          </w:tcPr>
          <w:p w14:paraId="46B8A758"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None</w:t>
            </w:r>
          </w:p>
        </w:tc>
      </w:tr>
      <w:tr w:rsidR="00156A0E" w:rsidRPr="00156A0E" w14:paraId="64669C02" w14:textId="77777777">
        <w:trPr>
          <w:tblCellSpacing w:w="15" w:type="dxa"/>
        </w:trPr>
        <w:tc>
          <w:tcPr>
            <w:tcW w:w="0" w:type="auto"/>
            <w:vAlign w:val="center"/>
            <w:hideMark/>
          </w:tcPr>
          <w:p w14:paraId="427CCF0C"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Medical confirmation</w:t>
            </w:r>
          </w:p>
        </w:tc>
        <w:tc>
          <w:tcPr>
            <w:tcW w:w="0" w:type="auto"/>
            <w:vAlign w:val="center"/>
            <w:hideMark/>
          </w:tcPr>
          <w:p w14:paraId="491FCF75"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Yes</w:t>
            </w:r>
          </w:p>
        </w:tc>
      </w:tr>
      <w:tr w:rsidR="00156A0E" w:rsidRPr="00156A0E" w14:paraId="4DEAC85D" w14:textId="77777777">
        <w:trPr>
          <w:tblCellSpacing w:w="15" w:type="dxa"/>
        </w:trPr>
        <w:tc>
          <w:tcPr>
            <w:tcW w:w="0" w:type="auto"/>
            <w:vAlign w:val="center"/>
            <w:hideMark/>
          </w:tcPr>
          <w:p w14:paraId="4F7BF721"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Follow-up required</w:t>
            </w:r>
          </w:p>
        </w:tc>
        <w:tc>
          <w:tcPr>
            <w:tcW w:w="0" w:type="auto"/>
            <w:vAlign w:val="center"/>
            <w:hideMark/>
          </w:tcPr>
          <w:p w14:paraId="61C4973C"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Yes/No depending on missing information</w:t>
            </w:r>
          </w:p>
        </w:tc>
      </w:tr>
    </w:tbl>
    <w:p w14:paraId="43158362" w14:textId="77777777" w:rsidR="00156A0E" w:rsidRPr="00156A0E" w:rsidRDefault="00156A0E" w:rsidP="00156A0E">
      <w:pPr>
        <w:rPr>
          <w:rFonts w:ascii="Times New Roman" w:hAnsi="Times New Roman" w:cs="Times New Roman"/>
        </w:rPr>
      </w:pPr>
      <w:r w:rsidRPr="00156A0E">
        <w:rPr>
          <w:rFonts w:ascii="Times New Roman" w:hAnsi="Times New Roman" w:cs="Times New Roman"/>
          <w:b/>
          <w:bCs/>
        </w:rPr>
        <w:lastRenderedPageBreak/>
        <w:t>Important:</w:t>
      </w:r>
      <w:r w:rsidRPr="00156A0E">
        <w:rPr>
          <w:rFonts w:ascii="Times New Roman" w:hAnsi="Times New Roman" w:cs="Times New Roman"/>
        </w:rPr>
        <w:t xml:space="preserve"> The classifications in a real case must be determined from the actual case information and the applicable SOP/reference safety information. The above is only an illustrative example.</w:t>
      </w:r>
    </w:p>
    <w:p w14:paraId="2B5E1A26" w14:textId="13E637DC" w:rsidR="00156A0E" w:rsidRPr="00156A0E" w:rsidRDefault="00156A0E" w:rsidP="00156A0E">
      <w:pPr>
        <w:rPr>
          <w:rFonts w:ascii="Times New Roman" w:hAnsi="Times New Roman" w:cs="Times New Roman"/>
        </w:rPr>
      </w:pPr>
    </w:p>
    <w:p w14:paraId="541DEB96" w14:textId="77777777" w:rsidR="00156A0E" w:rsidRPr="00156A0E" w:rsidRDefault="00156A0E" w:rsidP="00156A0E">
      <w:pPr>
        <w:rPr>
          <w:rFonts w:ascii="Times New Roman" w:hAnsi="Times New Roman" w:cs="Times New Roman"/>
          <w:b/>
          <w:bCs/>
        </w:rPr>
      </w:pPr>
      <w:r w:rsidRPr="00156A0E">
        <w:rPr>
          <w:rFonts w:ascii="Times New Roman" w:hAnsi="Times New Roman" w:cs="Times New Roman"/>
          <w:b/>
          <w:bCs/>
        </w:rPr>
        <w:t>34. COMPLETE CASE EXAMPLE</w:t>
      </w:r>
    </w:p>
    <w:p w14:paraId="1AE3B3C9"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A physician reports that a 45-year-old patient developed a skin rash three days after starting Drug X. The patient had no previous history of similar rash and was not taking any other new medicines. Drug X was discontinued and the rash resolved after several days. The physician considers Drug X to be the likely cause.</w:t>
      </w:r>
    </w:p>
    <w:p w14:paraId="2C74D4C7"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The report contains an identifiable patient, identifiable reporter, suspected medicinal product, and adverse event. Therefore, it meets the basic criteria for a valid ICSR.</w:t>
      </w:r>
    </w:p>
    <w:p w14:paraId="191396F5"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The event should then be assessed for seriousness. If the rash did not result in hospitalization, death, life-threatening condition, disability, congenital anomaly, or another applicable serious criterion, it may be classified as non-serious.</w:t>
      </w:r>
    </w:p>
    <w:p w14:paraId="1F93057B"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 xml:space="preserve">There is a reasonable temporal relationship between Drug X and the rash. The rash improved after Drug X was discontinued, indicating a positive </w:t>
      </w:r>
      <w:proofErr w:type="spellStart"/>
      <w:r w:rsidRPr="00156A0E">
        <w:rPr>
          <w:rFonts w:ascii="Times New Roman" w:hAnsi="Times New Roman" w:cs="Times New Roman"/>
        </w:rPr>
        <w:t>dechallenge</w:t>
      </w:r>
      <w:proofErr w:type="spellEnd"/>
      <w:r w:rsidRPr="00156A0E">
        <w:rPr>
          <w:rFonts w:ascii="Times New Roman" w:hAnsi="Times New Roman" w:cs="Times New Roman"/>
        </w:rPr>
        <w:t xml:space="preserve">. No alternative cause was identified. Therefore, the causality may be assessed as </w:t>
      </w:r>
      <w:r w:rsidRPr="00156A0E">
        <w:rPr>
          <w:rFonts w:ascii="Times New Roman" w:hAnsi="Times New Roman" w:cs="Times New Roman"/>
          <w:b/>
          <w:bCs/>
        </w:rPr>
        <w:t>Probable/Likely</w:t>
      </w:r>
      <w:r w:rsidRPr="00156A0E">
        <w:rPr>
          <w:rFonts w:ascii="Times New Roman" w:hAnsi="Times New Roman" w:cs="Times New Roman"/>
        </w:rPr>
        <w:t>, depending on the complete case information and applicable assessment method.</w:t>
      </w:r>
    </w:p>
    <w:p w14:paraId="6645F64E"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The case would also be evaluated against the appropriate reference safety information to determine whether the event is listed/expected or unlisted/unexpected.</w:t>
      </w:r>
    </w:p>
    <w:p w14:paraId="2506F823" w14:textId="7D6B2E90" w:rsidR="00156A0E" w:rsidRPr="00156A0E" w:rsidRDefault="00156A0E" w:rsidP="00156A0E">
      <w:pPr>
        <w:rPr>
          <w:rFonts w:ascii="Times New Roman" w:hAnsi="Times New Roman" w:cs="Times New Roman"/>
        </w:rPr>
      </w:pPr>
    </w:p>
    <w:p w14:paraId="176A1C7A" w14:textId="77777777" w:rsidR="00156A0E" w:rsidRPr="00156A0E" w:rsidRDefault="00156A0E" w:rsidP="00156A0E">
      <w:pPr>
        <w:rPr>
          <w:rFonts w:ascii="Times New Roman" w:hAnsi="Times New Roman" w:cs="Times New Roman"/>
          <w:b/>
          <w:bCs/>
        </w:rPr>
      </w:pPr>
      <w:r w:rsidRPr="00156A0E">
        <w:rPr>
          <w:rFonts w:ascii="Times New Roman" w:hAnsi="Times New Roman" w:cs="Times New Roman"/>
          <w:b/>
          <w:bCs/>
        </w:rPr>
        <w:t>35. STEP-BY-STEP CASE CLASSIFICATION PROCESS</w:t>
      </w:r>
    </w:p>
    <w:p w14:paraId="5CD32BEA"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When processing a new safety case, the first step is to determine whether the report meets the minimum criteria for a valid ICSR.</w:t>
      </w:r>
    </w:p>
    <w:p w14:paraId="2C48A7AB"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The second step is to identify the patient, reporter, suspected medicinal product, adverse event, and source of the report.</w:t>
      </w:r>
    </w:p>
    <w:p w14:paraId="7A552807"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The third step is to determine whether the case is an initial report or a follow-up report and perform appropriate duplicate checking.</w:t>
      </w:r>
    </w:p>
    <w:p w14:paraId="2FED9DBD"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The fourth step is to evaluate seriousness based on regulatory seriousness criteria.</w:t>
      </w:r>
    </w:p>
    <w:p w14:paraId="49C9259D"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The fifth step is to assess expectedness/</w:t>
      </w:r>
      <w:proofErr w:type="spellStart"/>
      <w:r w:rsidRPr="00156A0E">
        <w:rPr>
          <w:rFonts w:ascii="Times New Roman" w:hAnsi="Times New Roman" w:cs="Times New Roman"/>
        </w:rPr>
        <w:t>listedness</w:t>
      </w:r>
      <w:proofErr w:type="spellEnd"/>
      <w:r w:rsidRPr="00156A0E">
        <w:rPr>
          <w:rFonts w:ascii="Times New Roman" w:hAnsi="Times New Roman" w:cs="Times New Roman"/>
        </w:rPr>
        <w:t xml:space="preserve"> against the appropriate reference safety information.</w:t>
      </w:r>
    </w:p>
    <w:p w14:paraId="44B4DC97"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The sixth step is to assess causality using the applicable company procedure or assessment method.</w:t>
      </w:r>
    </w:p>
    <w:p w14:paraId="697F5D8D"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The seventh step is to identify any special situations such as pregnancy, overdose, medication error, off-label use, misuse, abuse, lack of efficacy, or product quality complaint.</w:t>
      </w:r>
    </w:p>
    <w:p w14:paraId="5634DC1D"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The eighth step is to identify missing information and determine whether follow-up is required.</w:t>
      </w:r>
    </w:p>
    <w:p w14:paraId="44ED21F9" w14:textId="77777777" w:rsidR="00156A0E" w:rsidRPr="00156A0E" w:rsidRDefault="00156A0E" w:rsidP="00156A0E">
      <w:pPr>
        <w:rPr>
          <w:rFonts w:ascii="Times New Roman" w:hAnsi="Times New Roman" w:cs="Times New Roman"/>
        </w:rPr>
      </w:pPr>
      <w:r w:rsidRPr="00156A0E">
        <w:rPr>
          <w:rFonts w:ascii="Times New Roman" w:hAnsi="Times New Roman" w:cs="Times New Roman"/>
        </w:rPr>
        <w:t>Finally, the case should be processed and reported according to the applicable company SOPs and regulatory timelines.</w:t>
      </w:r>
    </w:p>
    <w:p w14:paraId="583D1457" w14:textId="1DF5E552" w:rsidR="00156A0E" w:rsidRPr="00156A0E" w:rsidRDefault="00156A0E" w:rsidP="00156A0E">
      <w:pPr>
        <w:rPr>
          <w:rFonts w:ascii="Times New Roman" w:hAnsi="Times New Roman" w:cs="Times New Roman"/>
        </w:rPr>
      </w:pPr>
    </w:p>
    <w:p w14:paraId="59032DC3" w14:textId="7E83B64F" w:rsidR="00156A0E" w:rsidRPr="00156A0E" w:rsidRDefault="00156A0E" w:rsidP="00156A0E">
      <w:pPr>
        <w:rPr>
          <w:rFonts w:ascii="Times New Roman" w:hAnsi="Times New Roman" w:cs="Times New Roman"/>
        </w:rPr>
      </w:pPr>
    </w:p>
    <w:sectPr w:rsidR="00156A0E" w:rsidRPr="00156A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F6CAC"/>
    <w:multiLevelType w:val="multilevel"/>
    <w:tmpl w:val="B658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513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A0E"/>
    <w:rsid w:val="000C3240"/>
    <w:rsid w:val="00156A0E"/>
    <w:rsid w:val="00324789"/>
    <w:rsid w:val="005F5146"/>
    <w:rsid w:val="009C6A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3FE0A"/>
  <w15:chartTrackingRefBased/>
  <w15:docId w15:val="{3A0334F7-C667-4886-A87B-5EFBCCF21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A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6A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6A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A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A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A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A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A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A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A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6A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A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A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A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A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A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A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A0E"/>
    <w:rPr>
      <w:rFonts w:eastAsiaTheme="majorEastAsia" w:cstheme="majorBidi"/>
      <w:color w:val="272727" w:themeColor="text1" w:themeTint="D8"/>
    </w:rPr>
  </w:style>
  <w:style w:type="paragraph" w:styleId="Title">
    <w:name w:val="Title"/>
    <w:basedOn w:val="Normal"/>
    <w:next w:val="Normal"/>
    <w:link w:val="TitleChar"/>
    <w:uiPriority w:val="10"/>
    <w:qFormat/>
    <w:rsid w:val="00156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A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A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A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A0E"/>
    <w:pPr>
      <w:spacing w:before="160"/>
      <w:jc w:val="center"/>
    </w:pPr>
    <w:rPr>
      <w:i/>
      <w:iCs/>
      <w:color w:val="404040" w:themeColor="text1" w:themeTint="BF"/>
    </w:rPr>
  </w:style>
  <w:style w:type="character" w:customStyle="1" w:styleId="QuoteChar">
    <w:name w:val="Quote Char"/>
    <w:basedOn w:val="DefaultParagraphFont"/>
    <w:link w:val="Quote"/>
    <w:uiPriority w:val="29"/>
    <w:rsid w:val="00156A0E"/>
    <w:rPr>
      <w:i/>
      <w:iCs/>
      <w:color w:val="404040" w:themeColor="text1" w:themeTint="BF"/>
    </w:rPr>
  </w:style>
  <w:style w:type="paragraph" w:styleId="ListParagraph">
    <w:name w:val="List Paragraph"/>
    <w:basedOn w:val="Normal"/>
    <w:uiPriority w:val="34"/>
    <w:qFormat/>
    <w:rsid w:val="00156A0E"/>
    <w:pPr>
      <w:ind w:left="720"/>
      <w:contextualSpacing/>
    </w:pPr>
  </w:style>
  <w:style w:type="character" w:styleId="IntenseEmphasis">
    <w:name w:val="Intense Emphasis"/>
    <w:basedOn w:val="DefaultParagraphFont"/>
    <w:uiPriority w:val="21"/>
    <w:qFormat/>
    <w:rsid w:val="00156A0E"/>
    <w:rPr>
      <w:i/>
      <w:iCs/>
      <w:color w:val="0F4761" w:themeColor="accent1" w:themeShade="BF"/>
    </w:rPr>
  </w:style>
  <w:style w:type="paragraph" w:styleId="IntenseQuote">
    <w:name w:val="Intense Quote"/>
    <w:basedOn w:val="Normal"/>
    <w:next w:val="Normal"/>
    <w:link w:val="IntenseQuoteChar"/>
    <w:uiPriority w:val="30"/>
    <w:qFormat/>
    <w:rsid w:val="00156A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A0E"/>
    <w:rPr>
      <w:i/>
      <w:iCs/>
      <w:color w:val="0F4761" w:themeColor="accent1" w:themeShade="BF"/>
    </w:rPr>
  </w:style>
  <w:style w:type="character" w:styleId="IntenseReference">
    <w:name w:val="Intense Reference"/>
    <w:basedOn w:val="DefaultParagraphFont"/>
    <w:uiPriority w:val="32"/>
    <w:qFormat/>
    <w:rsid w:val="00156A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3244</Words>
  <Characters>18492</Characters>
  <Application>Microsoft Office Word</Application>
  <DocSecurity>0</DocSecurity>
  <Lines>154</Lines>
  <Paragraphs>43</Paragraphs>
  <ScaleCrop>false</ScaleCrop>
  <Company/>
  <LinksUpToDate>false</LinksUpToDate>
  <CharactersWithSpaces>21693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Navale</dc:creator>
  <cp:keywords/>
  <dc:description/>
  <cp:lastModifiedBy>Vaishnavi Navale</cp:lastModifiedBy>
  <cp:revision>1</cp:revision>
  <dcterms:created xsi:type="dcterms:W3CDTF">2026-10-08T11:06:00Z</dcterms:created>
  <dcterms:modified xsi:type="dcterms:W3CDTF">2026-10-08T11:10:00Z</dcterms:modified>
</cp:coreProperties>
</file>