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192"/>
          <w:sz w:val="24"/>
          <w:szCs w:val="24"/>
        </w:rPr>
        <w:t xml:space="preserve">Project Design Phase-II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Solution Requirements (Functional &amp; Non-functional)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Team (SmartBridge SIP 2026 - SRM AP)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- Intelligent Loan Eligibility, Credit Analysis &amp; Financial Advisory Platform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2"/>
        <w:spacing w:after="120" w:before="240"/>
      </w:pPr>
      <w:r>
        <w:t xml:space="preserve">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200"/>
      </w:tblGrid>
      <w:tr>
        <w:trPr>
          <w:tblHeader/>
        </w:trP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No.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Data Entry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name, monthly salary, age, credit score, existing EMI
Client-side input validation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Eligibility Check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rule-based eligibility criteria
Calculate eligible loan amount (Salary x 20)
Display eligible / not-eligible result with reasons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Score Analysis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Classify score into Excellent / Good / Poor
Show improvement suggestions for low scores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 Calculator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 loan amount, tenure and interest rate
Compute EMI using the reducing-balance formula
Display amortisation summary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Financial Tips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user's financial inputs to Groq AI API
Display personalised, plain-language financial guidance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Logging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submitted results to a Google Apps Script Web App
Append each submission as a row in Google Sheets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FR-7</w:t>
            </w:r>
          </w:p>
        </w:tc>
        <w:tc>
          <w:tcPr>
            <w:tcW w:type="dxa" w:w="2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Web UI</w:t>
            </w:r>
          </w:p>
        </w:tc>
        <w:tc>
          <w:tcPr>
            <w:tcW w:type="dxa" w:w="5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Glassmorphism-themed layout
Works on desktop, tablet and mobile breakpoints</w:t>
            </w:r>
          </w:p>
        </w:tc>
      </w:tr>
    </w:tbl>
    <w:p>
      <w:pPr>
        <w:pStyle w:val="Heading2"/>
        <w:spacing w:after="120" w:before="240"/>
      </w:pPr>
      <w:r>
        <w:t xml:space="preserve">Non-functional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600"/>
      </w:tblGrid>
      <w:tr>
        <w:trPr>
          <w:tblHeader/>
        </w:trP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NFR No.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NFR-1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Single-page, no-signup forms with clear labels; results shown instantly without page reload.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NFR-2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sensitive financial data stored server-side; API calls made over HTTPS; API key kept client-configurable rather than hard-coded in a shared backend.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NFR-3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Rule-based eligibility, credit classification and EMI logic are deterministic and give consistent results for the same inputs.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pages load in under 2 seconds; EMI/eligibility calculations are instantaneous; AI tip generation typically completes within a few seconds via Groq's low-latency inference.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NFR-5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Hosted on GitHub Pages, providing 24x7 static-site availability with no server maintenance.</w:t>
            </w:r>
          </w:p>
        </w:tc>
      </w:tr>
      <w:tr>
        <w:tc>
          <w:tcPr>
            <w:tcW w:type="dxa" w:w="1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NFR-6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Stateless front-end architecture can be extended with authentication, a real database, or additional financial modules without redesigning the core.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2026-07-19T21:19:44.206Z</dcterms:created>
  <dcterms:modified xsi:type="dcterms:W3CDTF">2026-07-19T21:19:44.206Z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